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0B6FD" w14:textId="77777777" w:rsidR="00736494" w:rsidRDefault="009156A5">
      <w:pPr>
        <w:spacing w:after="0"/>
        <w:ind w:left="48"/>
        <w:jc w:val="center"/>
      </w:pPr>
      <w:r>
        <w:rPr>
          <w:noProof/>
        </w:rPr>
        <w:drawing>
          <wp:inline distT="0" distB="0" distL="0" distR="0" wp14:anchorId="68D63CCA" wp14:editId="7DE712A1">
            <wp:extent cx="1965468" cy="49149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0"/>
                    <a:stretch>
                      <a:fillRect/>
                    </a:stretch>
                  </pic:blipFill>
                  <pic:spPr>
                    <a:xfrm>
                      <a:off x="0" y="0"/>
                      <a:ext cx="1965468" cy="491490"/>
                    </a:xfrm>
                    <a:prstGeom prst="rect">
                      <a:avLst/>
                    </a:prstGeom>
                  </pic:spPr>
                </pic:pic>
              </a:graphicData>
            </a:graphic>
          </wp:inline>
        </w:drawing>
      </w:r>
      <w:r>
        <w:rPr>
          <w:sz w:val="24"/>
        </w:rPr>
        <w:t xml:space="preserve"> </w:t>
      </w:r>
    </w:p>
    <w:p w14:paraId="5758F2D5" w14:textId="77777777" w:rsidR="00736494" w:rsidRDefault="009156A5">
      <w:pPr>
        <w:spacing w:after="0"/>
        <w:ind w:left="38"/>
        <w:jc w:val="center"/>
      </w:pPr>
      <w:r>
        <w:rPr>
          <w:rFonts w:ascii="Century Gothic" w:eastAsia="Century Gothic" w:hAnsi="Century Gothic" w:cs="Century Gothic"/>
          <w:color w:val="7F7F7F"/>
          <w:sz w:val="14"/>
        </w:rPr>
        <w:t xml:space="preserve"> </w:t>
      </w:r>
    </w:p>
    <w:p w14:paraId="0A68B6F0" w14:textId="77777777" w:rsidR="00736494" w:rsidRDefault="009156A5">
      <w:pPr>
        <w:spacing w:after="85" w:line="239" w:lineRule="auto"/>
        <w:ind w:left="3449" w:right="3375"/>
        <w:jc w:val="center"/>
      </w:pPr>
      <w:r>
        <w:rPr>
          <w:rFonts w:ascii="Century Gothic" w:eastAsia="Century Gothic" w:hAnsi="Century Gothic" w:cs="Century Gothic"/>
          <w:color w:val="7F7F7F"/>
          <w:sz w:val="14"/>
        </w:rPr>
        <w:t xml:space="preserve">1502 Vine Street, 3rd Floor  Cincinnati, Ohio 45202 </w:t>
      </w:r>
    </w:p>
    <w:p w14:paraId="6E3EDBB1" w14:textId="77777777" w:rsidR="00736494" w:rsidRDefault="009156A5">
      <w:pPr>
        <w:spacing w:after="0"/>
      </w:pPr>
      <w:r>
        <w:rPr>
          <w:sz w:val="24"/>
        </w:rPr>
        <w:t xml:space="preserve"> </w:t>
      </w:r>
    </w:p>
    <w:p w14:paraId="7C7F1294" w14:textId="77777777" w:rsidR="00736494" w:rsidRDefault="009156A5">
      <w:pPr>
        <w:spacing w:after="0"/>
      </w:pPr>
      <w:r>
        <w:rPr>
          <w:sz w:val="24"/>
        </w:rPr>
        <w:t xml:space="preserve"> </w:t>
      </w:r>
    </w:p>
    <w:p w14:paraId="31F8AC94" w14:textId="77777777" w:rsidR="00736494" w:rsidRDefault="009156A5">
      <w:pPr>
        <w:spacing w:after="19"/>
      </w:pPr>
      <w:r>
        <w:rPr>
          <w:rFonts w:ascii="Garamond" w:eastAsia="Garamond" w:hAnsi="Garamond" w:cs="Garamond"/>
          <w:sz w:val="24"/>
        </w:rPr>
        <w:t xml:space="preserve"> </w:t>
      </w:r>
    </w:p>
    <w:p w14:paraId="2C018A80" w14:textId="77777777" w:rsidR="00736494" w:rsidRDefault="009156A5">
      <w:pPr>
        <w:spacing w:after="19"/>
      </w:pPr>
      <w:r>
        <w:rPr>
          <w:rFonts w:ascii="Garamond" w:eastAsia="Garamond" w:hAnsi="Garamond" w:cs="Garamond"/>
          <w:sz w:val="24"/>
        </w:rPr>
        <w:t xml:space="preserve"> </w:t>
      </w:r>
    </w:p>
    <w:p w14:paraId="522B1715" w14:textId="77777777" w:rsidR="00736494" w:rsidRDefault="009156A5">
      <w:pPr>
        <w:spacing w:after="9" w:line="268" w:lineRule="auto"/>
      </w:pPr>
      <w:r>
        <w:rPr>
          <w:rFonts w:ascii="Garamond" w:eastAsia="Garamond" w:hAnsi="Garamond" w:cs="Garamond"/>
          <w:sz w:val="24"/>
        </w:rPr>
        <w:t xml:space="preserve">March 6, 2026 </w:t>
      </w:r>
    </w:p>
    <w:p w14:paraId="5A215E83" w14:textId="77777777" w:rsidR="00736494" w:rsidRDefault="009156A5">
      <w:pPr>
        <w:spacing w:after="19"/>
      </w:pPr>
      <w:r>
        <w:rPr>
          <w:rFonts w:ascii="Garamond" w:eastAsia="Garamond" w:hAnsi="Garamond" w:cs="Garamond"/>
          <w:sz w:val="24"/>
        </w:rPr>
        <w:t xml:space="preserve"> </w:t>
      </w:r>
    </w:p>
    <w:p w14:paraId="4D33B848" w14:textId="77777777" w:rsidR="00736494" w:rsidRDefault="009156A5">
      <w:pPr>
        <w:spacing w:after="11" w:line="268" w:lineRule="auto"/>
      </w:pPr>
      <w:r>
        <w:rPr>
          <w:rFonts w:ascii="Garamond" w:eastAsia="Garamond" w:hAnsi="Garamond" w:cs="Garamond"/>
          <w:i/>
          <w:sz w:val="24"/>
        </w:rPr>
        <w:t xml:space="preserve">Via Email:  Lisa May &lt;Lisa.May@mdrealtor.org&gt; </w:t>
      </w:r>
    </w:p>
    <w:p w14:paraId="54318330" w14:textId="77777777" w:rsidR="00736494" w:rsidRDefault="009156A5">
      <w:pPr>
        <w:spacing w:after="18"/>
      </w:pPr>
      <w:r>
        <w:rPr>
          <w:rFonts w:ascii="Garamond" w:eastAsia="Garamond" w:hAnsi="Garamond" w:cs="Garamond"/>
          <w:sz w:val="24"/>
        </w:rPr>
        <w:t xml:space="preserve"> </w:t>
      </w:r>
    </w:p>
    <w:p w14:paraId="0A82AAE6" w14:textId="77777777" w:rsidR="00736494" w:rsidRDefault="009156A5">
      <w:pPr>
        <w:spacing w:after="11" w:line="268" w:lineRule="auto"/>
      </w:pPr>
      <w:r>
        <w:rPr>
          <w:rFonts w:ascii="Garamond" w:eastAsia="Garamond" w:hAnsi="Garamond" w:cs="Garamond"/>
          <w:sz w:val="24"/>
        </w:rPr>
        <w:t xml:space="preserve">Ms. Lisa May </w:t>
      </w:r>
    </w:p>
    <w:p w14:paraId="51E2E097" w14:textId="77777777" w:rsidR="00736494" w:rsidRDefault="009156A5">
      <w:pPr>
        <w:spacing w:after="9" w:line="268" w:lineRule="auto"/>
      </w:pPr>
      <w:r>
        <w:rPr>
          <w:rFonts w:ascii="Garamond" w:eastAsia="Garamond" w:hAnsi="Garamond" w:cs="Garamond"/>
          <w:sz w:val="24"/>
        </w:rPr>
        <w:t xml:space="preserve">Maryland Association of Realtors </w:t>
      </w:r>
    </w:p>
    <w:p w14:paraId="07CEF30D" w14:textId="77777777" w:rsidR="00736494" w:rsidRDefault="009156A5">
      <w:pPr>
        <w:spacing w:after="179"/>
      </w:pPr>
      <w:r>
        <w:rPr>
          <w:rFonts w:ascii="Garamond" w:eastAsia="Garamond" w:hAnsi="Garamond" w:cs="Garamond"/>
          <w:sz w:val="24"/>
        </w:rPr>
        <w:t xml:space="preserve"> </w:t>
      </w:r>
    </w:p>
    <w:p w14:paraId="294EE64F" w14:textId="77777777" w:rsidR="00736494" w:rsidRDefault="009156A5">
      <w:pPr>
        <w:spacing w:after="178"/>
        <w:ind w:left="-5" w:hanging="10"/>
      </w:pPr>
      <w:r>
        <w:rPr>
          <w:rFonts w:ascii="Garamond" w:eastAsia="Garamond" w:hAnsi="Garamond" w:cs="Garamond"/>
          <w:sz w:val="24"/>
        </w:rPr>
        <w:t xml:space="preserve">RE:  </w:t>
      </w:r>
      <w:r>
        <w:rPr>
          <w:rFonts w:ascii="Garamond" w:eastAsia="Garamond" w:hAnsi="Garamond" w:cs="Garamond"/>
          <w:b/>
          <w:sz w:val="24"/>
        </w:rPr>
        <w:t xml:space="preserve">Salisbury Accessory Dwelling Unit Ordinance </w:t>
      </w:r>
    </w:p>
    <w:p w14:paraId="52E61B19" w14:textId="77777777" w:rsidR="00736494" w:rsidRDefault="009156A5">
      <w:pPr>
        <w:spacing w:after="163" w:line="268" w:lineRule="auto"/>
      </w:pPr>
      <w:r>
        <w:rPr>
          <w:rFonts w:ascii="Garamond" w:eastAsia="Garamond" w:hAnsi="Garamond" w:cs="Garamond"/>
          <w:sz w:val="24"/>
        </w:rPr>
        <w:t xml:space="preserve">Dear Ms. May, </w:t>
      </w:r>
    </w:p>
    <w:p w14:paraId="60AA62F9" w14:textId="77777777" w:rsidR="00736494" w:rsidRDefault="009156A5">
      <w:pPr>
        <w:spacing w:after="163" w:line="268" w:lineRule="auto"/>
        <w:ind w:firstLine="720"/>
      </w:pPr>
      <w:r>
        <w:rPr>
          <w:rFonts w:ascii="Garamond" w:eastAsia="Garamond" w:hAnsi="Garamond" w:cs="Garamond"/>
          <w:sz w:val="24"/>
        </w:rPr>
        <w:t xml:space="preserve">On behalf of the Maryland Association of Realtors, </w:t>
      </w:r>
      <w:proofErr w:type="spellStart"/>
      <w:r>
        <w:rPr>
          <w:rFonts w:ascii="Garamond" w:eastAsia="Garamond" w:hAnsi="Garamond" w:cs="Garamond"/>
          <w:sz w:val="24"/>
        </w:rPr>
        <w:t>ZoneCo</w:t>
      </w:r>
      <w:proofErr w:type="spellEnd"/>
      <w:r>
        <w:rPr>
          <w:rFonts w:ascii="Garamond" w:eastAsia="Garamond" w:hAnsi="Garamond" w:cs="Garamond"/>
          <w:sz w:val="24"/>
        </w:rPr>
        <w:t xml:space="preserve"> has reviewed the ordinances pertaining to Accessory Dwelling Units in Salisbury, Maryland.  Salisbury Zoning regulations, Chapter 17.164, currently permit the construction of an attached apartment, or detached accessory dwelling, on any property with a single-family detached dwelling in the R-5S, R-8S, and R-10S zoning districts, under the umbrella of special exception accessory structures.  To be eligible for an accessory apartment, the lot must be a minimum of 60 feet wide and contain 9,000 square feet of land area. Accessory dwellings are not limited to occupancy by familial relationship, such as in-law apartments. Property owners are required to reside in either the primary dwelling unit or in the accessory dwelling on the property. Certain size and setback requirements must be met. A building permit is required.  The Accessory Apartment ordinance has not been revised since the adoption of HB 1466.   </w:t>
      </w:r>
    </w:p>
    <w:p w14:paraId="03A3E2F2" w14:textId="77777777" w:rsidR="00736494" w:rsidRDefault="009156A5">
      <w:pPr>
        <w:spacing w:after="163" w:line="268" w:lineRule="auto"/>
        <w:ind w:firstLine="720"/>
      </w:pPr>
      <w:r>
        <w:rPr>
          <w:rFonts w:ascii="Garamond" w:eastAsia="Garamond" w:hAnsi="Garamond" w:cs="Garamond"/>
          <w:sz w:val="24"/>
        </w:rPr>
        <w:t xml:space="preserve">Our review considers (A) how the ordinance complies with Maryland HB 1466 adopted in 2025, and (B) how the ordinance compares with recommended provisions by MD Realtors.  We have also attached comments with the proposed Salisbury Ordinance.  </w:t>
      </w:r>
    </w:p>
    <w:p w14:paraId="41461463" w14:textId="77777777" w:rsidR="00736494" w:rsidRDefault="009156A5">
      <w:pPr>
        <w:spacing w:after="178"/>
        <w:ind w:left="-5" w:hanging="10"/>
      </w:pPr>
      <w:r>
        <w:rPr>
          <w:rFonts w:ascii="Garamond" w:eastAsia="Garamond" w:hAnsi="Garamond" w:cs="Garamond"/>
          <w:b/>
          <w:sz w:val="24"/>
        </w:rPr>
        <w:t xml:space="preserve">(A) Comparison with required provisions Maryland HB 1466 adopted in 2025. </w:t>
      </w:r>
    </w:p>
    <w:p w14:paraId="3888F5D4" w14:textId="77777777" w:rsidR="00736494" w:rsidRDefault="009156A5">
      <w:pPr>
        <w:tabs>
          <w:tab w:val="center" w:pos="1001"/>
          <w:tab w:val="center" w:pos="2366"/>
        </w:tabs>
        <w:spacing w:after="152"/>
      </w:pPr>
      <w:r>
        <w:tab/>
      </w:r>
      <w:r>
        <w:rPr>
          <w:rFonts w:ascii="Garamond" w:eastAsia="Garamond" w:hAnsi="Garamond" w:cs="Garamond"/>
          <w:b/>
          <w:sz w:val="24"/>
        </w:rPr>
        <w:t>1.</w:t>
      </w:r>
      <w:r>
        <w:rPr>
          <w:rFonts w:ascii="Arial" w:eastAsia="Arial" w:hAnsi="Arial" w:cs="Arial"/>
          <w:b/>
          <w:sz w:val="24"/>
        </w:rPr>
        <w:t xml:space="preserve"> </w:t>
      </w:r>
      <w:r>
        <w:rPr>
          <w:rFonts w:ascii="Arial" w:eastAsia="Arial" w:hAnsi="Arial" w:cs="Arial"/>
          <w:b/>
          <w:sz w:val="24"/>
        </w:rPr>
        <w:tab/>
      </w:r>
      <w:r>
        <w:rPr>
          <w:rFonts w:ascii="Garamond" w:eastAsia="Garamond" w:hAnsi="Garamond" w:cs="Garamond"/>
          <w:b/>
          <w:sz w:val="24"/>
          <w:u w:val="single" w:color="000000"/>
        </w:rPr>
        <w:t>Allowed By Right</w:t>
      </w:r>
      <w:r>
        <w:rPr>
          <w:rFonts w:ascii="Garamond" w:eastAsia="Garamond" w:hAnsi="Garamond" w:cs="Garamond"/>
          <w:b/>
          <w:sz w:val="24"/>
        </w:rPr>
        <w:t xml:space="preserve">:   </w:t>
      </w:r>
    </w:p>
    <w:p w14:paraId="794B9403" w14:textId="77777777" w:rsidR="00736494" w:rsidRDefault="009156A5">
      <w:pPr>
        <w:numPr>
          <w:ilvl w:val="0"/>
          <w:numId w:val="1"/>
        </w:numPr>
        <w:spacing w:after="163" w:line="268" w:lineRule="auto"/>
        <w:ind w:hanging="360"/>
      </w:pPr>
      <w:r>
        <w:rPr>
          <w:rFonts w:ascii="Garamond" w:eastAsia="Garamond" w:hAnsi="Garamond" w:cs="Garamond"/>
          <w:b/>
          <w:sz w:val="24"/>
        </w:rPr>
        <w:t xml:space="preserve">State Law Requires:  </w:t>
      </w:r>
      <w:r>
        <w:rPr>
          <w:rFonts w:ascii="Garamond" w:eastAsia="Garamond" w:hAnsi="Garamond" w:cs="Garamond"/>
          <w:sz w:val="24"/>
        </w:rPr>
        <w:t xml:space="preserve">The state law requires that Accessory Dwellings be permitted by right within any zone that permits single-unit detached residential development.  </w:t>
      </w:r>
      <w:r>
        <w:rPr>
          <w:rFonts w:ascii="Garamond" w:eastAsia="Garamond" w:hAnsi="Garamond" w:cs="Garamond"/>
          <w:b/>
          <w:sz w:val="24"/>
        </w:rPr>
        <w:t xml:space="preserve"> </w:t>
      </w:r>
    </w:p>
    <w:p w14:paraId="637A3AA9" w14:textId="77777777" w:rsidR="00736494" w:rsidRDefault="009156A5">
      <w:pPr>
        <w:numPr>
          <w:ilvl w:val="0"/>
          <w:numId w:val="1"/>
        </w:numPr>
        <w:spacing w:after="152"/>
        <w:ind w:hanging="360"/>
      </w:pPr>
      <w:r>
        <w:rPr>
          <w:rFonts w:ascii="Garamond" w:eastAsia="Garamond" w:hAnsi="Garamond" w:cs="Garamond"/>
          <w:b/>
          <w:sz w:val="24"/>
        </w:rPr>
        <w:t xml:space="preserve">Salisbury Ordinance:  DOES NOT COMPLY –  </w:t>
      </w:r>
    </w:p>
    <w:p w14:paraId="63296419" w14:textId="77777777" w:rsidR="00736494" w:rsidRDefault="009156A5">
      <w:pPr>
        <w:numPr>
          <w:ilvl w:val="1"/>
          <w:numId w:val="1"/>
        </w:numPr>
        <w:spacing w:after="163" w:line="268" w:lineRule="auto"/>
        <w:ind w:hanging="360"/>
      </w:pPr>
      <w:r>
        <w:rPr>
          <w:rFonts w:ascii="Garamond" w:eastAsia="Garamond" w:hAnsi="Garamond" w:cs="Garamond"/>
          <w:sz w:val="24"/>
        </w:rPr>
        <w:lastRenderedPageBreak/>
        <w:t xml:space="preserve">The Salisbury Ordinance allows “accessory apartments” as special exception accessory structures for all detached dwellings within the R-5S, R-8S, and R-10S zoning districts. The Special Exception process requires a public hearing and is not a by-right permission.  </w:t>
      </w:r>
      <w:r>
        <w:rPr>
          <w:rFonts w:ascii="Garamond" w:eastAsia="Garamond" w:hAnsi="Garamond" w:cs="Garamond"/>
          <w:i/>
          <w:sz w:val="24"/>
        </w:rPr>
        <w:t>To comply with the state law, permission for an accessory apartment must be by-right, (not requiring a public hearing), so long as reasonable standards are met.</w:t>
      </w:r>
      <w:r>
        <w:rPr>
          <w:rFonts w:ascii="Garamond" w:eastAsia="Garamond" w:hAnsi="Garamond" w:cs="Garamond"/>
          <w:b/>
          <w:sz w:val="24"/>
        </w:rPr>
        <w:t xml:space="preserve"> </w:t>
      </w:r>
    </w:p>
    <w:p w14:paraId="45F1F2D7" w14:textId="77777777" w:rsidR="00736494" w:rsidRDefault="009156A5">
      <w:pPr>
        <w:numPr>
          <w:ilvl w:val="1"/>
          <w:numId w:val="1"/>
        </w:numPr>
        <w:spacing w:after="163" w:line="268" w:lineRule="auto"/>
        <w:ind w:hanging="360"/>
      </w:pPr>
      <w:r>
        <w:rPr>
          <w:rFonts w:ascii="Garamond" w:eastAsia="Garamond" w:hAnsi="Garamond" w:cs="Garamond"/>
          <w:sz w:val="24"/>
        </w:rPr>
        <w:t>The Salisbury Ordinance has additional lot criteria, that</w:t>
      </w:r>
      <w:r>
        <w:rPr>
          <w:rFonts w:ascii="Garamond" w:eastAsia="Garamond" w:hAnsi="Garamond" w:cs="Garamond"/>
          <w:b/>
          <w:sz w:val="24"/>
        </w:rPr>
        <w:t xml:space="preserve"> </w:t>
      </w:r>
      <w:r>
        <w:rPr>
          <w:rFonts w:ascii="Garamond" w:eastAsia="Garamond" w:hAnsi="Garamond" w:cs="Garamond"/>
          <w:sz w:val="24"/>
        </w:rPr>
        <w:t xml:space="preserve">to be eligible for an accessory apartment, the lot must be a minimum of 60 feet wide and contain 9,000 square feet of land area.  </w:t>
      </w:r>
      <w:r>
        <w:rPr>
          <w:rFonts w:ascii="Garamond" w:eastAsia="Garamond" w:hAnsi="Garamond" w:cs="Garamond"/>
          <w:i/>
          <w:sz w:val="24"/>
        </w:rPr>
        <w:t>This additional criteria should be removed, as the state law requires by right approval in any zone that allows single unit detached residential development.</w:t>
      </w:r>
      <w:r>
        <w:rPr>
          <w:rFonts w:ascii="Garamond" w:eastAsia="Garamond" w:hAnsi="Garamond" w:cs="Garamond"/>
          <w:b/>
          <w:sz w:val="24"/>
        </w:rPr>
        <w:t xml:space="preserve"> </w:t>
      </w:r>
    </w:p>
    <w:p w14:paraId="6DFE0130" w14:textId="77777777" w:rsidR="00736494" w:rsidRDefault="009156A5">
      <w:pPr>
        <w:numPr>
          <w:ilvl w:val="0"/>
          <w:numId w:val="2"/>
        </w:numPr>
        <w:spacing w:after="152"/>
        <w:ind w:hanging="595"/>
      </w:pPr>
      <w:r>
        <w:rPr>
          <w:rFonts w:ascii="Garamond" w:eastAsia="Garamond" w:hAnsi="Garamond" w:cs="Garamond"/>
          <w:b/>
          <w:sz w:val="24"/>
          <w:u w:val="single" w:color="000000"/>
        </w:rPr>
        <w:t>No Density or Growth Restrictions</w:t>
      </w:r>
      <w:r>
        <w:rPr>
          <w:rFonts w:ascii="Garamond" w:eastAsia="Garamond" w:hAnsi="Garamond" w:cs="Garamond"/>
          <w:b/>
          <w:sz w:val="24"/>
        </w:rPr>
        <w:t xml:space="preserve">:  </w:t>
      </w:r>
    </w:p>
    <w:p w14:paraId="44807B88" w14:textId="77777777" w:rsidR="00736494" w:rsidRDefault="009156A5">
      <w:pPr>
        <w:numPr>
          <w:ilvl w:val="1"/>
          <w:numId w:val="2"/>
        </w:numPr>
        <w:spacing w:after="163" w:line="268" w:lineRule="auto"/>
        <w:ind w:hanging="360"/>
      </w:pPr>
      <w:r>
        <w:rPr>
          <w:rFonts w:ascii="Garamond" w:eastAsia="Garamond" w:hAnsi="Garamond" w:cs="Garamond"/>
          <w:b/>
          <w:sz w:val="24"/>
        </w:rPr>
        <w:t xml:space="preserve">State Law Requires:  </w:t>
      </w:r>
      <w:r>
        <w:rPr>
          <w:rFonts w:ascii="Garamond" w:eastAsia="Garamond" w:hAnsi="Garamond" w:cs="Garamond"/>
          <w:sz w:val="24"/>
        </w:rPr>
        <w:t>A local jurisdiction may not regulate or restrict ADU’s using residential density restrictions or residential growth limitation measures.</w:t>
      </w:r>
      <w:r>
        <w:rPr>
          <w:rFonts w:ascii="Garamond" w:eastAsia="Garamond" w:hAnsi="Garamond" w:cs="Garamond"/>
          <w:b/>
          <w:sz w:val="24"/>
        </w:rPr>
        <w:t xml:space="preserve"> </w:t>
      </w:r>
    </w:p>
    <w:p w14:paraId="100FFC3B" w14:textId="77777777" w:rsidR="00736494" w:rsidRDefault="009156A5">
      <w:pPr>
        <w:numPr>
          <w:ilvl w:val="1"/>
          <w:numId w:val="2"/>
        </w:numPr>
        <w:spacing w:after="168"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 </w:t>
      </w:r>
      <w:r>
        <w:rPr>
          <w:rFonts w:ascii="Garamond" w:eastAsia="Garamond" w:hAnsi="Garamond" w:cs="Garamond"/>
          <w:b/>
          <w:sz w:val="24"/>
        </w:rPr>
        <w:t>COMPLIES</w:t>
      </w:r>
      <w:r>
        <w:rPr>
          <w:rFonts w:ascii="Garamond" w:eastAsia="Garamond" w:hAnsi="Garamond" w:cs="Garamond"/>
          <w:sz w:val="24"/>
        </w:rPr>
        <w:t xml:space="preserve"> - The Ordinance treats ADU’s as special exemption accessory structures with no APFO requirements.  </w:t>
      </w:r>
      <w:r>
        <w:rPr>
          <w:rFonts w:ascii="Garamond" w:eastAsia="Garamond" w:hAnsi="Garamond" w:cs="Garamond"/>
          <w:b/>
          <w:sz w:val="24"/>
        </w:rPr>
        <w:t xml:space="preserve"> </w:t>
      </w:r>
    </w:p>
    <w:p w14:paraId="504C2585" w14:textId="77777777" w:rsidR="00736494" w:rsidRDefault="009156A5">
      <w:pPr>
        <w:numPr>
          <w:ilvl w:val="0"/>
          <w:numId w:val="2"/>
        </w:numPr>
        <w:spacing w:after="152"/>
        <w:ind w:hanging="595"/>
      </w:pPr>
      <w:r>
        <w:rPr>
          <w:rFonts w:ascii="Garamond" w:eastAsia="Garamond" w:hAnsi="Garamond" w:cs="Garamond"/>
          <w:b/>
          <w:sz w:val="24"/>
          <w:u w:val="single" w:color="000000"/>
        </w:rPr>
        <w:t>Must Comply with Safety &amp; Building Codes</w:t>
      </w:r>
      <w:r>
        <w:rPr>
          <w:rFonts w:ascii="Garamond" w:eastAsia="Garamond" w:hAnsi="Garamond" w:cs="Garamond"/>
          <w:b/>
          <w:sz w:val="24"/>
        </w:rPr>
        <w:t xml:space="preserve">: </w:t>
      </w:r>
    </w:p>
    <w:p w14:paraId="1448411A" w14:textId="77777777" w:rsidR="00736494" w:rsidRDefault="009156A5">
      <w:pPr>
        <w:numPr>
          <w:ilvl w:val="1"/>
          <w:numId w:val="2"/>
        </w:numPr>
        <w:spacing w:after="163" w:line="268" w:lineRule="auto"/>
        <w:ind w:hanging="360"/>
      </w:pPr>
      <w:r>
        <w:rPr>
          <w:rFonts w:ascii="Garamond" w:eastAsia="Garamond" w:hAnsi="Garamond" w:cs="Garamond"/>
          <w:b/>
          <w:sz w:val="24"/>
        </w:rPr>
        <w:t xml:space="preserve">State Law Requires:  </w:t>
      </w:r>
      <w:r>
        <w:rPr>
          <w:rFonts w:ascii="Garamond" w:eastAsia="Garamond" w:hAnsi="Garamond" w:cs="Garamond"/>
          <w:sz w:val="24"/>
        </w:rPr>
        <w:t>Must provide for construction of ADUs that meet public health, safety, and welfare standards, including relevant building codes.</w:t>
      </w:r>
      <w:r>
        <w:rPr>
          <w:rFonts w:ascii="Garamond" w:eastAsia="Garamond" w:hAnsi="Garamond" w:cs="Garamond"/>
          <w:b/>
          <w:sz w:val="24"/>
        </w:rPr>
        <w:t xml:space="preserve"> </w:t>
      </w:r>
    </w:p>
    <w:p w14:paraId="32F6377F" w14:textId="77777777" w:rsidR="00736494" w:rsidRDefault="009156A5">
      <w:pPr>
        <w:numPr>
          <w:ilvl w:val="1"/>
          <w:numId w:val="2"/>
        </w:numPr>
        <w:spacing w:after="163" w:line="268" w:lineRule="auto"/>
        <w:ind w:hanging="360"/>
      </w:pPr>
      <w:r>
        <w:rPr>
          <w:rFonts w:ascii="Garamond" w:eastAsia="Garamond" w:hAnsi="Garamond" w:cs="Garamond"/>
          <w:b/>
          <w:sz w:val="24"/>
        </w:rPr>
        <w:t>Salisbury Ordinance:  COMPLIES</w:t>
      </w:r>
      <w:r>
        <w:rPr>
          <w:rFonts w:ascii="Garamond" w:eastAsia="Garamond" w:hAnsi="Garamond" w:cs="Garamond"/>
          <w:sz w:val="24"/>
        </w:rPr>
        <w:t xml:space="preserve"> - The existing ordinance does not exempt accessory apartments from applicable building construction and Maryland Department of Health and Mental Hygiene and MDE Codes.  </w:t>
      </w:r>
      <w:r>
        <w:rPr>
          <w:rFonts w:ascii="Garamond" w:eastAsia="Garamond" w:hAnsi="Garamond" w:cs="Garamond"/>
          <w:b/>
          <w:sz w:val="24"/>
        </w:rPr>
        <w:t xml:space="preserve"> </w:t>
      </w:r>
    </w:p>
    <w:p w14:paraId="2ABBCDB1" w14:textId="77777777" w:rsidR="00736494" w:rsidRDefault="009156A5">
      <w:pPr>
        <w:pStyle w:val="Heading2"/>
        <w:tabs>
          <w:tab w:val="center" w:pos="992"/>
          <w:tab w:val="center" w:pos="3598"/>
        </w:tabs>
        <w:ind w:left="0" w:firstLine="0"/>
      </w:pPr>
      <w:r>
        <w:rPr>
          <w:rFonts w:ascii="Calibri" w:eastAsia="Calibri" w:hAnsi="Calibri" w:cs="Calibri"/>
          <w:b w:val="0"/>
          <w:sz w:val="22"/>
          <w:u w:val="none"/>
        </w:rPr>
        <w:tab/>
      </w:r>
      <w:r>
        <w:rPr>
          <w:u w:val="none"/>
        </w:rPr>
        <w:t>4.</w:t>
      </w:r>
      <w:r>
        <w:rPr>
          <w:rFonts w:ascii="Arial" w:eastAsia="Arial" w:hAnsi="Arial" w:cs="Arial"/>
          <w:u w:val="none"/>
        </w:rPr>
        <w:t xml:space="preserve"> </w:t>
      </w:r>
      <w:r>
        <w:rPr>
          <w:rFonts w:ascii="Arial" w:eastAsia="Arial" w:hAnsi="Arial" w:cs="Arial"/>
          <w:u w:val="none"/>
        </w:rPr>
        <w:tab/>
      </w:r>
      <w:r>
        <w:t>Setbacks Same As Accessory Use Setbacks</w:t>
      </w:r>
      <w:r>
        <w:rPr>
          <w:u w:val="none"/>
        </w:rPr>
        <w:t xml:space="preserve"> </w:t>
      </w:r>
    </w:p>
    <w:p w14:paraId="01CECEE1" w14:textId="42D29D8B" w:rsidR="00736494" w:rsidRDefault="009156A5">
      <w:pPr>
        <w:numPr>
          <w:ilvl w:val="0"/>
          <w:numId w:val="3"/>
        </w:numPr>
        <w:spacing w:after="163" w:line="268" w:lineRule="auto"/>
        <w:ind w:hanging="360"/>
      </w:pPr>
      <w:r>
        <w:rPr>
          <w:rFonts w:ascii="Garamond" w:eastAsia="Garamond" w:hAnsi="Garamond" w:cs="Garamond"/>
          <w:b/>
          <w:sz w:val="24"/>
        </w:rPr>
        <w:t xml:space="preserve">State Law Requires:  </w:t>
      </w:r>
      <w:r>
        <w:rPr>
          <w:rFonts w:ascii="Garamond" w:eastAsia="Garamond" w:hAnsi="Garamond" w:cs="Garamond"/>
          <w:sz w:val="24"/>
        </w:rPr>
        <w:t xml:space="preserve">May not require side or rear yard setbacks that are greater than the side and rear yard setbacks for accessory structures in the applicable zoning district.  Also note:  In determining setbacks for detached ADUs, many jurisdictions have used five feet as the minimum separation between the ADU structure and the property line so that the accessory dwelling structure does not have to meet building code standard </w:t>
      </w:r>
      <w:r w:rsidR="00F427C8">
        <w:rPr>
          <w:rFonts w:ascii="Garamond" w:eastAsia="Garamond" w:hAnsi="Garamond" w:cs="Garamond"/>
          <w:sz w:val="24"/>
        </w:rPr>
        <w:t>fire resistance</w:t>
      </w:r>
      <w:r>
        <w:rPr>
          <w:rFonts w:ascii="Garamond" w:eastAsia="Garamond" w:hAnsi="Garamond" w:cs="Garamond"/>
          <w:sz w:val="24"/>
        </w:rPr>
        <w:t xml:space="preserve"> rating requirements. Also, a five-foot setback option allows for more windows and flexibility in window placement.</w:t>
      </w:r>
      <w:r>
        <w:rPr>
          <w:rFonts w:ascii="Garamond" w:eastAsia="Garamond" w:hAnsi="Garamond" w:cs="Garamond"/>
          <w:b/>
          <w:sz w:val="24"/>
        </w:rPr>
        <w:t xml:space="preserve"> </w:t>
      </w:r>
    </w:p>
    <w:p w14:paraId="75E33D77" w14:textId="77777777" w:rsidR="00736494" w:rsidRDefault="009156A5">
      <w:pPr>
        <w:numPr>
          <w:ilvl w:val="0"/>
          <w:numId w:val="3"/>
        </w:numPr>
        <w:spacing w:after="128" w:line="268" w:lineRule="auto"/>
        <w:ind w:hanging="360"/>
      </w:pPr>
      <w:r>
        <w:rPr>
          <w:rFonts w:ascii="Garamond" w:eastAsia="Garamond" w:hAnsi="Garamond" w:cs="Garamond"/>
          <w:b/>
          <w:sz w:val="24"/>
        </w:rPr>
        <w:t xml:space="preserve">Salisbury Proposed:  </w:t>
      </w:r>
      <w:r>
        <w:rPr>
          <w:rFonts w:ascii="Garamond" w:eastAsia="Garamond" w:hAnsi="Garamond" w:cs="Garamond"/>
          <w:sz w:val="24"/>
        </w:rPr>
        <w:t xml:space="preserve"> </w:t>
      </w:r>
      <w:r>
        <w:rPr>
          <w:rFonts w:ascii="Garamond" w:eastAsia="Garamond" w:hAnsi="Garamond" w:cs="Garamond"/>
          <w:b/>
          <w:sz w:val="24"/>
        </w:rPr>
        <w:t>COMPLIES</w:t>
      </w:r>
      <w:r>
        <w:rPr>
          <w:rFonts w:ascii="Garamond" w:eastAsia="Garamond" w:hAnsi="Garamond" w:cs="Garamond"/>
          <w:sz w:val="24"/>
        </w:rPr>
        <w:t>:  The setback requirements for detached accessory apartments are the same as “Accessory Structures”,  with the law.</w:t>
      </w:r>
      <w:r>
        <w:rPr>
          <w:rFonts w:ascii="Garamond" w:eastAsia="Garamond" w:hAnsi="Garamond" w:cs="Garamond"/>
          <w:b/>
          <w:sz w:val="24"/>
        </w:rPr>
        <w:t xml:space="preserve"> </w:t>
      </w:r>
    </w:p>
    <w:p w14:paraId="29B9F31F" w14:textId="77777777" w:rsidR="00736494" w:rsidRDefault="009156A5">
      <w:pPr>
        <w:spacing w:after="0"/>
        <w:ind w:left="2160"/>
      </w:pPr>
      <w:r>
        <w:rPr>
          <w:rFonts w:ascii="Garamond" w:eastAsia="Garamond" w:hAnsi="Garamond" w:cs="Garamond"/>
          <w:b/>
          <w:sz w:val="24"/>
        </w:rPr>
        <w:t xml:space="preserve"> </w:t>
      </w:r>
    </w:p>
    <w:p w14:paraId="5DB0C49A" w14:textId="77777777" w:rsidR="00736494" w:rsidRDefault="009156A5">
      <w:pPr>
        <w:pStyle w:val="Heading2"/>
        <w:tabs>
          <w:tab w:val="center" w:pos="992"/>
          <w:tab w:val="center" w:pos="2254"/>
        </w:tabs>
        <w:ind w:left="0" w:firstLine="0"/>
      </w:pPr>
      <w:r>
        <w:rPr>
          <w:rFonts w:ascii="Calibri" w:eastAsia="Calibri" w:hAnsi="Calibri" w:cs="Calibri"/>
          <w:b w:val="0"/>
          <w:sz w:val="22"/>
          <w:u w:val="none"/>
        </w:rPr>
        <w:lastRenderedPageBreak/>
        <w:tab/>
      </w:r>
      <w:r>
        <w:rPr>
          <w:u w:val="none"/>
        </w:rPr>
        <w:t>5.</w:t>
      </w:r>
      <w:r>
        <w:rPr>
          <w:rFonts w:ascii="Arial" w:eastAsia="Arial" w:hAnsi="Arial" w:cs="Arial"/>
          <w:u w:val="none"/>
        </w:rPr>
        <w:t xml:space="preserve"> </w:t>
      </w:r>
      <w:r>
        <w:rPr>
          <w:rFonts w:ascii="Arial" w:eastAsia="Arial" w:hAnsi="Arial" w:cs="Arial"/>
          <w:u w:val="none"/>
        </w:rPr>
        <w:tab/>
      </w:r>
      <w:r>
        <w:t>ADU Definition</w:t>
      </w:r>
      <w:r>
        <w:rPr>
          <w:u w:val="none"/>
        </w:rPr>
        <w:t xml:space="preserve"> </w:t>
      </w:r>
    </w:p>
    <w:p w14:paraId="617327B4" w14:textId="77777777" w:rsidR="00736494" w:rsidRDefault="009156A5">
      <w:pPr>
        <w:numPr>
          <w:ilvl w:val="0"/>
          <w:numId w:val="4"/>
        </w:numPr>
        <w:spacing w:after="155" w:line="238" w:lineRule="auto"/>
        <w:ind w:hanging="360"/>
      </w:pPr>
      <w:r>
        <w:rPr>
          <w:rFonts w:ascii="Garamond" w:eastAsia="Garamond" w:hAnsi="Garamond" w:cs="Garamond"/>
          <w:b/>
          <w:sz w:val="24"/>
        </w:rPr>
        <w:t xml:space="preserve">State Law Requires:  </w:t>
      </w:r>
      <w:r>
        <w:rPr>
          <w:rFonts w:ascii="Garamond" w:eastAsia="Garamond" w:hAnsi="Garamond" w:cs="Garamond"/>
          <w:sz w:val="23"/>
        </w:rPr>
        <w:t xml:space="preserve">The bill defines an ADU as “a secondary dwelling unit that is:  </w:t>
      </w:r>
    </w:p>
    <w:p w14:paraId="19C7037A" w14:textId="77777777" w:rsidR="00736494" w:rsidRDefault="009156A5">
      <w:pPr>
        <w:numPr>
          <w:ilvl w:val="1"/>
          <w:numId w:val="4"/>
        </w:numPr>
        <w:spacing w:after="119" w:line="238" w:lineRule="auto"/>
        <w:ind w:hanging="360"/>
      </w:pPr>
      <w:r>
        <w:rPr>
          <w:rFonts w:ascii="Garamond" w:eastAsia="Garamond" w:hAnsi="Garamond" w:cs="Garamond"/>
          <w:sz w:val="23"/>
        </w:rPr>
        <w:t xml:space="preserve">on the same lot, parcel, or tract as a primary single-family detached dwelling unit and  </w:t>
      </w:r>
    </w:p>
    <w:p w14:paraId="02DD260F" w14:textId="77777777" w:rsidR="00736494" w:rsidRDefault="009156A5">
      <w:pPr>
        <w:numPr>
          <w:ilvl w:val="1"/>
          <w:numId w:val="4"/>
        </w:numPr>
        <w:spacing w:after="145" w:line="238" w:lineRule="auto"/>
        <w:ind w:hanging="360"/>
      </w:pPr>
      <w:r>
        <w:rPr>
          <w:rFonts w:ascii="Garamond" w:eastAsia="Garamond" w:hAnsi="Garamond" w:cs="Garamond"/>
          <w:sz w:val="23"/>
        </w:rPr>
        <w:t xml:space="preserve">not greater than 75% of the size of and subordinate in use to the primary single-family detached dwelling unit.” </w:t>
      </w:r>
    </w:p>
    <w:p w14:paraId="7909AC8B" w14:textId="77777777" w:rsidR="00736494" w:rsidRDefault="009156A5">
      <w:pPr>
        <w:numPr>
          <w:ilvl w:val="0"/>
          <w:numId w:val="4"/>
        </w:numPr>
        <w:spacing w:after="152"/>
        <w:ind w:hanging="360"/>
      </w:pPr>
      <w:r>
        <w:rPr>
          <w:rFonts w:ascii="Garamond" w:eastAsia="Garamond" w:hAnsi="Garamond" w:cs="Garamond"/>
          <w:b/>
          <w:sz w:val="24"/>
        </w:rPr>
        <w:t xml:space="preserve">Salisbury Ordinance: </w:t>
      </w:r>
      <w:r>
        <w:rPr>
          <w:rFonts w:ascii="Garamond" w:eastAsia="Garamond" w:hAnsi="Garamond" w:cs="Garamond"/>
          <w:sz w:val="24"/>
        </w:rPr>
        <w:t xml:space="preserve"> </w:t>
      </w:r>
      <w:r>
        <w:rPr>
          <w:rFonts w:ascii="Garamond" w:eastAsia="Garamond" w:hAnsi="Garamond" w:cs="Garamond"/>
          <w:b/>
          <w:sz w:val="24"/>
        </w:rPr>
        <w:t>DOES NOT COMPLY</w:t>
      </w:r>
      <w:r>
        <w:rPr>
          <w:rFonts w:ascii="Garamond" w:eastAsia="Garamond" w:hAnsi="Garamond" w:cs="Garamond"/>
          <w:sz w:val="24"/>
        </w:rPr>
        <w:t xml:space="preserve"> – </w:t>
      </w:r>
      <w:r>
        <w:rPr>
          <w:rFonts w:ascii="Garamond" w:eastAsia="Garamond" w:hAnsi="Garamond" w:cs="Garamond"/>
          <w:b/>
          <w:sz w:val="24"/>
        </w:rPr>
        <w:t xml:space="preserve"> </w:t>
      </w:r>
    </w:p>
    <w:p w14:paraId="032D38F4" w14:textId="77777777" w:rsidR="00736494" w:rsidRDefault="009156A5">
      <w:pPr>
        <w:numPr>
          <w:ilvl w:val="1"/>
          <w:numId w:val="4"/>
        </w:numPr>
        <w:spacing w:after="163" w:line="268" w:lineRule="auto"/>
        <w:ind w:hanging="360"/>
      </w:pPr>
      <w:r>
        <w:rPr>
          <w:rFonts w:ascii="Garamond" w:eastAsia="Garamond" w:hAnsi="Garamond" w:cs="Garamond"/>
          <w:sz w:val="24"/>
        </w:rPr>
        <w:t xml:space="preserve">"Accessory apartment" are defined in the Salisbury Ordinance as “a dwelling unit, limited to no more than one bedroom, incorporated within a single-family dwelling or its accessory building. The accessory apartment or the principal dwelling shall be occupied by the owner(s) of the property on which the accessory apartment is located.” </w:t>
      </w:r>
    </w:p>
    <w:p w14:paraId="78EE94C5" w14:textId="77777777" w:rsidR="00736494" w:rsidRDefault="009156A5">
      <w:pPr>
        <w:numPr>
          <w:ilvl w:val="1"/>
          <w:numId w:val="4"/>
        </w:numPr>
        <w:spacing w:after="163" w:line="268" w:lineRule="auto"/>
        <w:ind w:hanging="360"/>
      </w:pPr>
      <w:r>
        <w:rPr>
          <w:rFonts w:ascii="Garamond" w:eastAsia="Garamond" w:hAnsi="Garamond" w:cs="Garamond"/>
          <w:sz w:val="24"/>
        </w:rPr>
        <w:t xml:space="preserve">Accessory Apartments are allowed in some Residential Districts as an accessory use, but not necessarily on all parcels with a primary single-family detached dwelling unit.  </w:t>
      </w:r>
      <w:r>
        <w:rPr>
          <w:rFonts w:ascii="Garamond" w:eastAsia="Garamond" w:hAnsi="Garamond" w:cs="Garamond"/>
          <w:i/>
          <w:sz w:val="24"/>
        </w:rPr>
        <w:t>Recommendation:  The language in the Salisbury Ordinance should track the state law definition of an ADU.</w:t>
      </w:r>
      <w:r>
        <w:rPr>
          <w:rFonts w:ascii="Garamond" w:eastAsia="Garamond" w:hAnsi="Garamond" w:cs="Garamond"/>
          <w:sz w:val="24"/>
        </w:rPr>
        <w:t xml:space="preserve"> </w:t>
      </w:r>
    </w:p>
    <w:p w14:paraId="73CE493E" w14:textId="77777777" w:rsidR="00736494" w:rsidRDefault="009156A5">
      <w:pPr>
        <w:numPr>
          <w:ilvl w:val="1"/>
          <w:numId w:val="4"/>
        </w:numPr>
        <w:spacing w:after="128" w:line="268" w:lineRule="auto"/>
        <w:ind w:hanging="360"/>
      </w:pPr>
      <w:r>
        <w:rPr>
          <w:rFonts w:ascii="Garamond" w:eastAsia="Garamond" w:hAnsi="Garamond" w:cs="Garamond"/>
          <w:sz w:val="24"/>
        </w:rPr>
        <w:t xml:space="preserve">The size of both attached and detached accessory apartments is limited not by definition, but in §17.164.030 An accessory apartment is limited to 500 gross square feet in size.   This is a very small apartment size.  </w:t>
      </w:r>
      <w:r>
        <w:rPr>
          <w:rFonts w:ascii="Garamond" w:eastAsia="Garamond" w:hAnsi="Garamond" w:cs="Garamond"/>
          <w:b/>
          <w:sz w:val="24"/>
        </w:rPr>
        <w:t xml:space="preserve"> </w:t>
      </w:r>
    </w:p>
    <w:p w14:paraId="4BDCD439" w14:textId="77777777" w:rsidR="00736494" w:rsidRDefault="009156A5">
      <w:pPr>
        <w:spacing w:after="128" w:line="268" w:lineRule="auto"/>
        <w:ind w:left="3060"/>
      </w:pPr>
      <w:r>
        <w:rPr>
          <w:rFonts w:ascii="Garamond" w:eastAsia="Garamond" w:hAnsi="Garamond" w:cs="Garamond"/>
          <w:sz w:val="24"/>
        </w:rPr>
        <w:t xml:space="preserve">It is unclear if the state law requires jurisdictions to permit the accessory apartment to have “up to 75% of the primary dwelling unit floor area” or allows a local jurisdiction to permit a floor area maximum that is less than 75% of the primary dwelling unit (for example up to 50% of the primary dwelling unit floor area).   </w:t>
      </w:r>
    </w:p>
    <w:p w14:paraId="71C65C8E" w14:textId="77777777" w:rsidR="00736494" w:rsidRDefault="009156A5">
      <w:pPr>
        <w:spacing w:after="127" w:line="268" w:lineRule="auto"/>
        <w:ind w:left="3060"/>
      </w:pPr>
      <w:r>
        <w:rPr>
          <w:rFonts w:ascii="Garamond" w:eastAsia="Garamond" w:hAnsi="Garamond" w:cs="Garamond"/>
          <w:i/>
          <w:sz w:val="24"/>
        </w:rPr>
        <w:t>Recommendation</w:t>
      </w:r>
      <w:r>
        <w:rPr>
          <w:rFonts w:ascii="Garamond" w:eastAsia="Garamond" w:hAnsi="Garamond" w:cs="Garamond"/>
          <w:sz w:val="24"/>
        </w:rPr>
        <w:t xml:space="preserve">: Experienced accessory dwelling unit builders have indicated that 900 square feet is a minimum floor area to allow flexibility for a second bedroom, which is commonly requested for use as a guest bedroom, a home office, storage, a hobby or craft room, or similar </w:t>
      </w:r>
      <w:proofErr w:type="spellStart"/>
      <w:r>
        <w:rPr>
          <w:rFonts w:ascii="Garamond" w:eastAsia="Garamond" w:hAnsi="Garamond" w:cs="Garamond"/>
          <w:sz w:val="24"/>
        </w:rPr>
        <w:t>ancillaary</w:t>
      </w:r>
      <w:proofErr w:type="spellEnd"/>
      <w:r>
        <w:rPr>
          <w:rFonts w:ascii="Garamond" w:eastAsia="Garamond" w:hAnsi="Garamond" w:cs="Garamond"/>
          <w:sz w:val="24"/>
        </w:rPr>
        <w:t xml:space="preserve"> use.  Some jurisdictions have also allowed an exception to the maximum floor area when the accessory apartment occupies a basement or attic space that has the same floor area as the main floor footprint.  </w:t>
      </w:r>
      <w:r>
        <w:rPr>
          <w:rFonts w:ascii="Garamond" w:eastAsia="Garamond" w:hAnsi="Garamond" w:cs="Garamond"/>
          <w:i/>
          <w:sz w:val="24"/>
        </w:rPr>
        <w:t xml:space="preserve">We recommend that the ordinance be revised to either match the maximum floor area of the state law, or at a minimum, permit an accessory apartment up to 900 square feet. </w:t>
      </w:r>
    </w:p>
    <w:p w14:paraId="61D9A939" w14:textId="77777777" w:rsidR="00736494" w:rsidRDefault="009156A5">
      <w:pPr>
        <w:spacing w:after="178"/>
        <w:ind w:left="-5" w:hanging="10"/>
      </w:pPr>
      <w:r>
        <w:rPr>
          <w:rFonts w:ascii="Garamond" w:eastAsia="Garamond" w:hAnsi="Garamond" w:cs="Garamond"/>
          <w:b/>
          <w:sz w:val="24"/>
        </w:rPr>
        <w:lastRenderedPageBreak/>
        <w:t xml:space="preserve">(B) Comparison of Salisbury Ordinance with recommended ADU ordinance elements. </w:t>
      </w:r>
    </w:p>
    <w:p w14:paraId="763DD070" w14:textId="77777777" w:rsidR="00736494" w:rsidRDefault="009156A5">
      <w:pPr>
        <w:pStyle w:val="Heading2"/>
        <w:tabs>
          <w:tab w:val="center" w:pos="1001"/>
          <w:tab w:val="center" w:pos="2390"/>
        </w:tabs>
        <w:ind w:left="0" w:firstLine="0"/>
      </w:pPr>
      <w:r>
        <w:rPr>
          <w:rFonts w:ascii="Calibri" w:eastAsia="Calibri" w:hAnsi="Calibri" w:cs="Calibri"/>
          <w:b w:val="0"/>
          <w:sz w:val="22"/>
          <w:u w:val="none"/>
        </w:rPr>
        <w:tab/>
      </w:r>
      <w:r>
        <w:rPr>
          <w:u w:val="none"/>
        </w:rPr>
        <w:t>1.</w:t>
      </w:r>
      <w:r>
        <w:rPr>
          <w:rFonts w:ascii="Arial" w:eastAsia="Arial" w:hAnsi="Arial" w:cs="Arial"/>
          <w:u w:val="none"/>
        </w:rPr>
        <w:t xml:space="preserve"> </w:t>
      </w:r>
      <w:r>
        <w:rPr>
          <w:rFonts w:ascii="Arial" w:eastAsia="Arial" w:hAnsi="Arial" w:cs="Arial"/>
          <w:u w:val="none"/>
        </w:rPr>
        <w:tab/>
      </w:r>
      <w:r>
        <w:t>Owner Occupancy</w:t>
      </w:r>
      <w:r>
        <w:rPr>
          <w:u w:val="none"/>
        </w:rPr>
        <w:t xml:space="preserve"> </w:t>
      </w:r>
    </w:p>
    <w:p w14:paraId="3C7245A2" w14:textId="77777777" w:rsidR="00736494" w:rsidRDefault="009156A5">
      <w:pPr>
        <w:numPr>
          <w:ilvl w:val="0"/>
          <w:numId w:val="5"/>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Owner-occupancy should not </w:t>
      </w:r>
      <w:proofErr w:type="spellStart"/>
      <w:r>
        <w:rPr>
          <w:rFonts w:ascii="Garamond" w:eastAsia="Garamond" w:hAnsi="Garamond" w:cs="Garamond"/>
          <w:sz w:val="24"/>
        </w:rPr>
        <w:t>required</w:t>
      </w:r>
      <w:proofErr w:type="spellEnd"/>
      <w:r>
        <w:rPr>
          <w:rFonts w:ascii="Garamond" w:eastAsia="Garamond" w:hAnsi="Garamond" w:cs="Garamond"/>
          <w:sz w:val="24"/>
        </w:rPr>
        <w:t xml:space="preserve"> for either the primary dwelling or the accessory dwelling.   </w:t>
      </w:r>
    </w:p>
    <w:p w14:paraId="06E635E4" w14:textId="77777777" w:rsidR="00736494" w:rsidRDefault="009156A5">
      <w:pPr>
        <w:spacing w:after="163" w:line="268" w:lineRule="auto"/>
        <w:ind w:left="2880" w:hanging="288"/>
      </w:pPr>
      <w:proofErr w:type="spellStart"/>
      <w:r>
        <w:rPr>
          <w:rFonts w:ascii="Garamond" w:eastAsia="Garamond" w:hAnsi="Garamond" w:cs="Garamond"/>
          <w:sz w:val="24"/>
        </w:rPr>
        <w:t>i</w:t>
      </w:r>
      <w:proofErr w:type="spellEnd"/>
      <w:r>
        <w:rPr>
          <w:rFonts w:ascii="Garamond" w:eastAsia="Garamond" w:hAnsi="Garamond" w:cs="Garamond"/>
          <w:sz w:val="24"/>
        </w:rPr>
        <w:t>.</w:t>
      </w:r>
      <w:r>
        <w:rPr>
          <w:rFonts w:ascii="Arial" w:eastAsia="Arial" w:hAnsi="Arial" w:cs="Arial"/>
          <w:sz w:val="24"/>
        </w:rPr>
        <w:t xml:space="preserve"> </w:t>
      </w:r>
      <w:r>
        <w:rPr>
          <w:rFonts w:ascii="Garamond" w:eastAsia="Garamond" w:hAnsi="Garamond" w:cs="Garamond"/>
          <w:sz w:val="24"/>
        </w:rPr>
        <w:t xml:space="preserve">Jurisdictional approaches on this can vary depending on whether short-term rentals are permitted.  Where short-term rental is allowed for the primary or accessory dwelling, it is common to require </w:t>
      </w:r>
      <w:proofErr w:type="spellStart"/>
      <w:r>
        <w:rPr>
          <w:rFonts w:ascii="Garamond" w:eastAsia="Garamond" w:hAnsi="Garamond" w:cs="Garamond"/>
          <w:sz w:val="24"/>
        </w:rPr>
        <w:t>owneroccupancy</w:t>
      </w:r>
      <w:proofErr w:type="spellEnd"/>
      <w:r>
        <w:rPr>
          <w:rFonts w:ascii="Garamond" w:eastAsia="Garamond" w:hAnsi="Garamond" w:cs="Garamond"/>
          <w:sz w:val="24"/>
        </w:rPr>
        <w:t xml:space="preserve"> of the other dwelling.  In their recently adopted ordinance, Washington County decided not to require </w:t>
      </w:r>
      <w:proofErr w:type="spellStart"/>
      <w:r>
        <w:rPr>
          <w:rFonts w:ascii="Garamond" w:eastAsia="Garamond" w:hAnsi="Garamond" w:cs="Garamond"/>
          <w:sz w:val="24"/>
        </w:rPr>
        <w:t>owneroccupancy</w:t>
      </w:r>
      <w:proofErr w:type="spellEnd"/>
      <w:r>
        <w:rPr>
          <w:rFonts w:ascii="Garamond" w:eastAsia="Garamond" w:hAnsi="Garamond" w:cs="Garamond"/>
          <w:sz w:val="24"/>
        </w:rPr>
        <w:t xml:space="preserve"> to encourage development of accessory dwellings to address the housing crisis.  This means that both the primary dwelling unit and the accessory apartment could be rented.  However, Washington County does not permit short-term rental of either unit, as the goal of their accessory dwelling ordinance was to increase the number of dwellings. </w:t>
      </w:r>
    </w:p>
    <w:p w14:paraId="48AE1DBB" w14:textId="77777777" w:rsidR="00736494" w:rsidRDefault="009156A5">
      <w:pPr>
        <w:numPr>
          <w:ilvl w:val="0"/>
          <w:numId w:val="5"/>
        </w:numPr>
        <w:spacing w:after="165"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 </w:t>
      </w:r>
      <w:r>
        <w:rPr>
          <w:rFonts w:ascii="Garamond" w:eastAsia="Garamond" w:hAnsi="Garamond" w:cs="Garamond"/>
          <w:b/>
          <w:sz w:val="24"/>
        </w:rPr>
        <w:t>DOES NOT COMPLY.</w:t>
      </w:r>
      <w:r>
        <w:rPr>
          <w:rFonts w:ascii="Garamond" w:eastAsia="Garamond" w:hAnsi="Garamond" w:cs="Garamond"/>
          <w:sz w:val="24"/>
        </w:rPr>
        <w:t xml:space="preserve">  The owner must reside in either the single-family dwelling or the ADU.  </w:t>
      </w:r>
      <w:r>
        <w:rPr>
          <w:rFonts w:ascii="Garamond" w:eastAsia="Garamond" w:hAnsi="Garamond" w:cs="Garamond"/>
          <w:i/>
          <w:sz w:val="24"/>
        </w:rPr>
        <w:t>Recommend revising so that owner-occupancy is not required for either unit, per the above recommendation.</w:t>
      </w:r>
      <w:r>
        <w:rPr>
          <w:rFonts w:ascii="Garamond" w:eastAsia="Garamond" w:hAnsi="Garamond" w:cs="Garamond"/>
          <w:sz w:val="24"/>
        </w:rPr>
        <w:t xml:space="preserve">  </w:t>
      </w:r>
      <w:r>
        <w:rPr>
          <w:rFonts w:ascii="Garamond" w:eastAsia="Garamond" w:hAnsi="Garamond" w:cs="Garamond"/>
          <w:b/>
          <w:sz w:val="24"/>
        </w:rPr>
        <w:t xml:space="preserve"> </w:t>
      </w:r>
    </w:p>
    <w:p w14:paraId="5AB767B9" w14:textId="77777777" w:rsidR="00736494" w:rsidRDefault="009156A5">
      <w:pPr>
        <w:pStyle w:val="Heading2"/>
        <w:tabs>
          <w:tab w:val="center" w:pos="992"/>
          <w:tab w:val="center" w:pos="1841"/>
        </w:tabs>
        <w:ind w:left="0" w:firstLine="0"/>
      </w:pPr>
      <w:r>
        <w:rPr>
          <w:rFonts w:ascii="Calibri" w:eastAsia="Calibri" w:hAnsi="Calibri" w:cs="Calibri"/>
          <w:b w:val="0"/>
          <w:sz w:val="22"/>
          <w:u w:val="none"/>
        </w:rPr>
        <w:tab/>
      </w:r>
      <w:r>
        <w:rPr>
          <w:u w:val="none"/>
        </w:rPr>
        <w:t>2.</w:t>
      </w:r>
      <w:r>
        <w:rPr>
          <w:rFonts w:ascii="Arial" w:eastAsia="Arial" w:hAnsi="Arial" w:cs="Arial"/>
          <w:u w:val="none"/>
        </w:rPr>
        <w:t xml:space="preserve"> </w:t>
      </w:r>
      <w:r>
        <w:rPr>
          <w:rFonts w:ascii="Arial" w:eastAsia="Arial" w:hAnsi="Arial" w:cs="Arial"/>
          <w:u w:val="none"/>
        </w:rPr>
        <w:tab/>
      </w:r>
      <w:r>
        <w:t>Parking</w:t>
      </w:r>
      <w:r>
        <w:rPr>
          <w:u w:val="none"/>
        </w:rPr>
        <w:t xml:space="preserve"> </w:t>
      </w:r>
    </w:p>
    <w:p w14:paraId="49130769" w14:textId="77777777" w:rsidR="00736494" w:rsidRDefault="009156A5">
      <w:pPr>
        <w:numPr>
          <w:ilvl w:val="0"/>
          <w:numId w:val="6"/>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Because of common space constraints and the additional cost, additional parking should not be required if the principal dwelling unit has sufficient off-street parking, or adequate additional </w:t>
      </w:r>
      <w:proofErr w:type="spellStart"/>
      <w:r>
        <w:rPr>
          <w:rFonts w:ascii="Garamond" w:eastAsia="Garamond" w:hAnsi="Garamond" w:cs="Garamond"/>
          <w:sz w:val="24"/>
        </w:rPr>
        <w:t>onstreet</w:t>
      </w:r>
      <w:proofErr w:type="spellEnd"/>
      <w:r>
        <w:rPr>
          <w:rFonts w:ascii="Garamond" w:eastAsia="Garamond" w:hAnsi="Garamond" w:cs="Garamond"/>
          <w:sz w:val="24"/>
        </w:rPr>
        <w:t xml:space="preserve"> parking is available within walking distance (500 feet) of the lot containing the accessory dwelling.  Also recommend staff-level authority to approve parking sufficiency. </w:t>
      </w:r>
    </w:p>
    <w:p w14:paraId="7A1033DD" w14:textId="77777777" w:rsidR="00736494" w:rsidRDefault="009156A5">
      <w:pPr>
        <w:numPr>
          <w:ilvl w:val="0"/>
          <w:numId w:val="6"/>
        </w:numPr>
        <w:spacing w:after="163"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w:t>
      </w:r>
      <w:r>
        <w:rPr>
          <w:rFonts w:ascii="Times New Roman" w:eastAsia="Times New Roman" w:hAnsi="Times New Roman" w:cs="Times New Roman"/>
          <w:color w:val="313335"/>
          <w:sz w:val="27"/>
        </w:rPr>
        <w:t xml:space="preserve"> </w:t>
      </w:r>
      <w:r>
        <w:rPr>
          <w:rFonts w:ascii="Garamond" w:eastAsia="Garamond" w:hAnsi="Garamond" w:cs="Garamond"/>
          <w:sz w:val="24"/>
        </w:rPr>
        <w:t>17.196.030</w:t>
      </w:r>
      <w:r>
        <w:rPr>
          <w:rFonts w:ascii="Garamond" w:eastAsia="Garamond" w:hAnsi="Garamond" w:cs="Garamond"/>
          <w:b/>
          <w:sz w:val="24"/>
        </w:rPr>
        <w:t xml:space="preserve"> </w:t>
      </w:r>
      <w:r>
        <w:rPr>
          <w:rFonts w:ascii="Garamond" w:eastAsia="Garamond" w:hAnsi="Garamond" w:cs="Garamond"/>
          <w:sz w:val="24"/>
        </w:rPr>
        <w:t xml:space="preserve">implies that 2 off-street parking spaces are required, as an accessory apartment is a “residential use”. </w:t>
      </w:r>
      <w:r>
        <w:rPr>
          <w:rFonts w:ascii="Garamond" w:eastAsia="Garamond" w:hAnsi="Garamond" w:cs="Garamond"/>
          <w:i/>
          <w:sz w:val="24"/>
        </w:rPr>
        <w:t xml:space="preserve"> Revise to clarify the parking requirements and comply with above recommendation.    </w:t>
      </w:r>
      <w:r>
        <w:rPr>
          <w:rFonts w:ascii="Garamond" w:eastAsia="Garamond" w:hAnsi="Garamond" w:cs="Garamond"/>
          <w:b/>
          <w:sz w:val="24"/>
        </w:rPr>
        <w:t xml:space="preserve"> </w:t>
      </w:r>
    </w:p>
    <w:p w14:paraId="5AA294A1" w14:textId="77777777" w:rsidR="00736494" w:rsidRDefault="009156A5">
      <w:pPr>
        <w:pStyle w:val="Heading2"/>
        <w:tabs>
          <w:tab w:val="center" w:pos="992"/>
          <w:tab w:val="center" w:pos="2517"/>
        </w:tabs>
        <w:ind w:left="0" w:firstLine="0"/>
      </w:pPr>
      <w:r>
        <w:rPr>
          <w:rFonts w:ascii="Calibri" w:eastAsia="Calibri" w:hAnsi="Calibri" w:cs="Calibri"/>
          <w:b w:val="0"/>
          <w:sz w:val="22"/>
          <w:u w:val="none"/>
        </w:rPr>
        <w:tab/>
      </w:r>
      <w:r>
        <w:rPr>
          <w:u w:val="none"/>
        </w:rPr>
        <w:t>3.</w:t>
      </w:r>
      <w:r>
        <w:rPr>
          <w:rFonts w:ascii="Arial" w:eastAsia="Arial" w:hAnsi="Arial" w:cs="Arial"/>
          <w:u w:val="none"/>
        </w:rPr>
        <w:t xml:space="preserve"> </w:t>
      </w:r>
      <w:r>
        <w:rPr>
          <w:rFonts w:ascii="Arial" w:eastAsia="Arial" w:hAnsi="Arial" w:cs="Arial"/>
          <w:u w:val="none"/>
        </w:rPr>
        <w:tab/>
      </w:r>
      <w:r>
        <w:t>Minimum Floor Area</w:t>
      </w:r>
      <w:r>
        <w:rPr>
          <w:u w:val="none"/>
        </w:rPr>
        <w:t xml:space="preserve"> </w:t>
      </w:r>
    </w:p>
    <w:p w14:paraId="2A2CBB55" w14:textId="77777777" w:rsidR="00736494" w:rsidRDefault="009156A5">
      <w:pPr>
        <w:numPr>
          <w:ilvl w:val="0"/>
          <w:numId w:val="7"/>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No minimum floor area should be required.  If a minimum floor area is required, it should be no less than 400 sq. ft. to permit a studio apartment. </w:t>
      </w:r>
    </w:p>
    <w:p w14:paraId="111B735D" w14:textId="77777777" w:rsidR="00736494" w:rsidRDefault="009156A5">
      <w:pPr>
        <w:numPr>
          <w:ilvl w:val="0"/>
          <w:numId w:val="7"/>
        </w:numPr>
        <w:spacing w:after="163"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No minimum floor area specified.   </w:t>
      </w:r>
      <w:r>
        <w:rPr>
          <w:rFonts w:ascii="Garamond" w:eastAsia="Garamond" w:hAnsi="Garamond" w:cs="Garamond"/>
          <w:i/>
          <w:sz w:val="24"/>
        </w:rPr>
        <w:t>No change recommended.</w:t>
      </w:r>
      <w:r>
        <w:rPr>
          <w:rFonts w:ascii="Garamond" w:eastAsia="Garamond" w:hAnsi="Garamond" w:cs="Garamond"/>
          <w:sz w:val="24"/>
        </w:rPr>
        <w:t xml:space="preserve">      </w:t>
      </w:r>
      <w:r>
        <w:rPr>
          <w:rFonts w:ascii="Garamond" w:eastAsia="Garamond" w:hAnsi="Garamond" w:cs="Garamond"/>
          <w:b/>
          <w:sz w:val="24"/>
        </w:rPr>
        <w:t xml:space="preserve"> </w:t>
      </w:r>
    </w:p>
    <w:p w14:paraId="65257533" w14:textId="77777777" w:rsidR="00736494" w:rsidRDefault="009156A5">
      <w:pPr>
        <w:pStyle w:val="Heading2"/>
        <w:tabs>
          <w:tab w:val="center" w:pos="992"/>
          <w:tab w:val="center" w:pos="2535"/>
        </w:tabs>
        <w:ind w:left="0" w:firstLine="0"/>
      </w:pPr>
      <w:r>
        <w:rPr>
          <w:rFonts w:ascii="Calibri" w:eastAsia="Calibri" w:hAnsi="Calibri" w:cs="Calibri"/>
          <w:b w:val="0"/>
          <w:sz w:val="22"/>
          <w:u w:val="none"/>
        </w:rPr>
        <w:lastRenderedPageBreak/>
        <w:tab/>
      </w:r>
      <w:r>
        <w:rPr>
          <w:u w:val="none"/>
        </w:rPr>
        <w:t>4.</w:t>
      </w:r>
      <w:r>
        <w:rPr>
          <w:rFonts w:ascii="Arial" w:eastAsia="Arial" w:hAnsi="Arial" w:cs="Arial"/>
          <w:u w:val="none"/>
        </w:rPr>
        <w:t xml:space="preserve"> </w:t>
      </w:r>
      <w:r>
        <w:rPr>
          <w:rFonts w:ascii="Arial" w:eastAsia="Arial" w:hAnsi="Arial" w:cs="Arial"/>
          <w:u w:val="none"/>
        </w:rPr>
        <w:tab/>
      </w:r>
      <w:r>
        <w:t>Maximum Floor Area</w:t>
      </w:r>
      <w:r>
        <w:rPr>
          <w:u w:val="none"/>
        </w:rPr>
        <w:t xml:space="preserve"> </w:t>
      </w:r>
    </w:p>
    <w:p w14:paraId="690E0B21" w14:textId="77777777" w:rsidR="00736494" w:rsidRDefault="009156A5">
      <w:pPr>
        <w:numPr>
          <w:ilvl w:val="0"/>
          <w:numId w:val="8"/>
        </w:numPr>
        <w:spacing w:after="163" w:line="268" w:lineRule="auto"/>
        <w:ind w:hanging="360"/>
      </w:pPr>
      <w:r>
        <w:rPr>
          <w:rFonts w:ascii="Garamond" w:eastAsia="Garamond" w:hAnsi="Garamond" w:cs="Garamond"/>
          <w:b/>
          <w:sz w:val="24"/>
        </w:rPr>
        <w:t xml:space="preserve">Required per State Law:  </w:t>
      </w:r>
      <w:r>
        <w:rPr>
          <w:rFonts w:ascii="Garamond" w:eastAsia="Garamond" w:hAnsi="Garamond" w:cs="Garamond"/>
          <w:sz w:val="24"/>
        </w:rPr>
        <w:t>The ADU floor area should not be greater than 75% of the gross floor area of the primary dwelling unit.</w:t>
      </w:r>
      <w:r>
        <w:rPr>
          <w:rFonts w:ascii="Garamond" w:eastAsia="Garamond" w:hAnsi="Garamond" w:cs="Garamond"/>
          <w:b/>
          <w:sz w:val="24"/>
        </w:rPr>
        <w:t xml:space="preserve"> </w:t>
      </w:r>
    </w:p>
    <w:p w14:paraId="5ACDD684" w14:textId="77777777" w:rsidR="00736494" w:rsidRDefault="009156A5">
      <w:pPr>
        <w:numPr>
          <w:ilvl w:val="0"/>
          <w:numId w:val="8"/>
        </w:numPr>
        <w:spacing w:after="163"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The maximum floor area for both attached and detached accessory apartments is limited to 500 gross square feet.  </w:t>
      </w:r>
      <w:r>
        <w:rPr>
          <w:rFonts w:ascii="Garamond" w:eastAsia="Garamond" w:hAnsi="Garamond" w:cs="Garamond"/>
          <w:i/>
          <w:sz w:val="24"/>
        </w:rPr>
        <w:t>Recommend changing to match recommendation in A.5.b.3 above.</w:t>
      </w:r>
      <w:r>
        <w:rPr>
          <w:rFonts w:ascii="Garamond" w:eastAsia="Garamond" w:hAnsi="Garamond" w:cs="Garamond"/>
          <w:b/>
          <w:sz w:val="24"/>
        </w:rPr>
        <w:t xml:space="preserve"> </w:t>
      </w:r>
    </w:p>
    <w:p w14:paraId="25AB6484" w14:textId="77777777" w:rsidR="00736494" w:rsidRDefault="009156A5">
      <w:pPr>
        <w:pStyle w:val="Heading2"/>
        <w:tabs>
          <w:tab w:val="center" w:pos="992"/>
          <w:tab w:val="center" w:pos="2071"/>
        </w:tabs>
        <w:ind w:left="0" w:firstLine="0"/>
      </w:pPr>
      <w:r>
        <w:rPr>
          <w:rFonts w:ascii="Calibri" w:eastAsia="Calibri" w:hAnsi="Calibri" w:cs="Calibri"/>
          <w:b w:val="0"/>
          <w:sz w:val="22"/>
          <w:u w:val="none"/>
        </w:rPr>
        <w:tab/>
      </w:r>
      <w:r>
        <w:rPr>
          <w:u w:val="none"/>
        </w:rPr>
        <w:t>5.</w:t>
      </w:r>
      <w:r>
        <w:rPr>
          <w:rFonts w:ascii="Arial" w:eastAsia="Arial" w:hAnsi="Arial" w:cs="Arial"/>
          <w:u w:val="none"/>
        </w:rPr>
        <w:t xml:space="preserve"> </w:t>
      </w:r>
      <w:r>
        <w:rPr>
          <w:rFonts w:ascii="Arial" w:eastAsia="Arial" w:hAnsi="Arial" w:cs="Arial"/>
          <w:u w:val="none"/>
        </w:rPr>
        <w:tab/>
      </w:r>
      <w:r>
        <w:t># Bedrooms</w:t>
      </w:r>
      <w:r>
        <w:rPr>
          <w:u w:val="none"/>
        </w:rPr>
        <w:t xml:space="preserve"> </w:t>
      </w:r>
    </w:p>
    <w:p w14:paraId="3B3BD845" w14:textId="77777777" w:rsidR="00736494" w:rsidRDefault="009156A5">
      <w:pPr>
        <w:numPr>
          <w:ilvl w:val="0"/>
          <w:numId w:val="9"/>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No more than 2 bedrooms are permitted in an ADU.  Limiting to no more than 2 bedrooms is appropriate given the recommendation to waive other requirements, such as off-street parking, impact fees, APFO compliance, and separate water and sewer taps. </w:t>
      </w:r>
    </w:p>
    <w:p w14:paraId="01E4B160" w14:textId="77777777" w:rsidR="00736494" w:rsidRDefault="009156A5">
      <w:pPr>
        <w:numPr>
          <w:ilvl w:val="0"/>
          <w:numId w:val="9"/>
        </w:numPr>
        <w:spacing w:after="163"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Accessory apartments are limited to one bedroom by definition.  This is a fairly strict requirement, and could limit the number of accessory apartments constructed. For example, accessory apartments that provide housing for seniors benefit from having a second bedroom so that a caregiver can sleep over.</w:t>
      </w:r>
      <w:r>
        <w:rPr>
          <w:rFonts w:ascii="Garamond" w:eastAsia="Garamond" w:hAnsi="Garamond" w:cs="Garamond"/>
          <w:i/>
          <w:sz w:val="24"/>
        </w:rPr>
        <w:t xml:space="preserve"> Revise per the above recommendation to permit up to 2 bedrooms.</w:t>
      </w:r>
      <w:r>
        <w:rPr>
          <w:rFonts w:ascii="Garamond" w:eastAsia="Garamond" w:hAnsi="Garamond" w:cs="Garamond"/>
          <w:sz w:val="24"/>
        </w:rPr>
        <w:t xml:space="preserve">      </w:t>
      </w:r>
      <w:r>
        <w:rPr>
          <w:rFonts w:ascii="Garamond" w:eastAsia="Garamond" w:hAnsi="Garamond" w:cs="Garamond"/>
          <w:b/>
          <w:sz w:val="24"/>
        </w:rPr>
        <w:t xml:space="preserve"> </w:t>
      </w:r>
    </w:p>
    <w:p w14:paraId="3D756F57" w14:textId="77777777" w:rsidR="00736494" w:rsidRDefault="009156A5">
      <w:pPr>
        <w:tabs>
          <w:tab w:val="center" w:pos="998"/>
          <w:tab w:val="center" w:pos="5020"/>
        </w:tabs>
        <w:spacing w:after="14"/>
      </w:pPr>
      <w:r>
        <w:tab/>
      </w:r>
      <w:r>
        <w:rPr>
          <w:rFonts w:ascii="Garamond" w:eastAsia="Garamond" w:hAnsi="Garamond" w:cs="Garamond"/>
          <w:sz w:val="24"/>
        </w:rPr>
        <w:t>6.</w:t>
      </w:r>
      <w:r>
        <w:rPr>
          <w:rFonts w:ascii="Arial" w:eastAsia="Arial" w:hAnsi="Arial" w:cs="Arial"/>
          <w:sz w:val="24"/>
        </w:rPr>
        <w:t xml:space="preserve"> </w:t>
      </w:r>
      <w:r>
        <w:rPr>
          <w:rFonts w:ascii="Arial" w:eastAsia="Arial" w:hAnsi="Arial" w:cs="Arial"/>
          <w:sz w:val="24"/>
        </w:rPr>
        <w:tab/>
      </w:r>
      <w:r>
        <w:rPr>
          <w:rFonts w:ascii="Garamond" w:eastAsia="Garamond" w:hAnsi="Garamond" w:cs="Garamond"/>
          <w:b/>
          <w:color w:val="0D0D0D"/>
          <w:sz w:val="24"/>
          <w:u w:val="single" w:color="0D0D0D"/>
        </w:rPr>
        <w:t>Definitions for ADU Types</w:t>
      </w:r>
      <w:r>
        <w:rPr>
          <w:rFonts w:ascii="Garamond" w:eastAsia="Garamond" w:hAnsi="Garamond" w:cs="Garamond"/>
          <w:b/>
          <w:color w:val="0D0D0D"/>
          <w:sz w:val="24"/>
        </w:rPr>
        <w:t xml:space="preserve"> </w:t>
      </w:r>
      <w:r>
        <w:rPr>
          <w:rFonts w:ascii="Garamond" w:eastAsia="Garamond" w:hAnsi="Garamond" w:cs="Garamond"/>
          <w:color w:val="0D0D0D"/>
          <w:sz w:val="24"/>
        </w:rPr>
        <w:t xml:space="preserve">(for example: Attached ADU, Detached ADU, </w:t>
      </w:r>
    </w:p>
    <w:p w14:paraId="5D3D30AD" w14:textId="77777777" w:rsidR="00736494" w:rsidRDefault="009156A5">
      <w:pPr>
        <w:spacing w:after="157"/>
        <w:ind w:left="1450" w:hanging="10"/>
      </w:pPr>
      <w:r>
        <w:rPr>
          <w:rFonts w:ascii="Garamond" w:eastAsia="Garamond" w:hAnsi="Garamond" w:cs="Garamond"/>
          <w:color w:val="0D0D0D"/>
          <w:sz w:val="24"/>
        </w:rPr>
        <w:t>Internal ADU)</w:t>
      </w:r>
      <w:r>
        <w:rPr>
          <w:rFonts w:ascii="Garamond" w:eastAsia="Garamond" w:hAnsi="Garamond" w:cs="Garamond"/>
          <w:sz w:val="24"/>
        </w:rPr>
        <w:t xml:space="preserve"> </w:t>
      </w:r>
    </w:p>
    <w:p w14:paraId="0F81460D" w14:textId="77777777" w:rsidR="00736494" w:rsidRDefault="009156A5">
      <w:pPr>
        <w:numPr>
          <w:ilvl w:val="0"/>
          <w:numId w:val="10"/>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These definitions are</w:t>
      </w:r>
      <w:r>
        <w:rPr>
          <w:rFonts w:ascii="Garamond" w:eastAsia="Garamond" w:hAnsi="Garamond" w:cs="Garamond"/>
          <w:b/>
          <w:sz w:val="24"/>
        </w:rPr>
        <w:t xml:space="preserve"> </w:t>
      </w:r>
      <w:r>
        <w:rPr>
          <w:rFonts w:ascii="Garamond" w:eastAsia="Garamond" w:hAnsi="Garamond" w:cs="Garamond"/>
          <w:sz w:val="24"/>
        </w:rPr>
        <w:t>optional</w:t>
      </w:r>
      <w:r>
        <w:rPr>
          <w:rFonts w:ascii="Garamond" w:eastAsia="Garamond" w:hAnsi="Garamond" w:cs="Garamond"/>
          <w:b/>
          <w:sz w:val="24"/>
        </w:rPr>
        <w:t xml:space="preserve">.  </w:t>
      </w:r>
      <w:r>
        <w:rPr>
          <w:rFonts w:ascii="Garamond" w:eastAsia="Garamond" w:hAnsi="Garamond" w:cs="Garamond"/>
          <w:sz w:val="24"/>
        </w:rPr>
        <w:t>Definitions may or may not be needed depending on other criteria imposed.</w:t>
      </w:r>
      <w:r>
        <w:rPr>
          <w:rFonts w:ascii="Garamond" w:eastAsia="Garamond" w:hAnsi="Garamond" w:cs="Garamond"/>
          <w:b/>
          <w:sz w:val="24"/>
        </w:rPr>
        <w:t xml:space="preserve">  </w:t>
      </w:r>
      <w:r>
        <w:rPr>
          <w:rFonts w:ascii="Garamond" w:eastAsia="Garamond" w:hAnsi="Garamond" w:cs="Garamond"/>
          <w:sz w:val="24"/>
        </w:rPr>
        <w:t xml:space="preserve">For example, if setback requirements vary depending on whether an accessory dwelling is attached or detached, then definitions are needed. </w:t>
      </w:r>
    </w:p>
    <w:p w14:paraId="6D691518" w14:textId="77777777" w:rsidR="00736494" w:rsidRDefault="009156A5">
      <w:pPr>
        <w:numPr>
          <w:ilvl w:val="0"/>
          <w:numId w:val="10"/>
        </w:numPr>
        <w:spacing w:after="163"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Salisbury provides one definition that encompasses both attached and detached accessory apartments.  </w:t>
      </w:r>
      <w:r>
        <w:rPr>
          <w:rFonts w:ascii="Garamond" w:eastAsia="Garamond" w:hAnsi="Garamond" w:cs="Garamond"/>
          <w:i/>
          <w:sz w:val="24"/>
        </w:rPr>
        <w:t>No change recommended.</w:t>
      </w:r>
      <w:r>
        <w:rPr>
          <w:rFonts w:ascii="Garamond" w:eastAsia="Garamond" w:hAnsi="Garamond" w:cs="Garamond"/>
          <w:sz w:val="24"/>
        </w:rPr>
        <w:t xml:space="preserve">      </w:t>
      </w:r>
      <w:r>
        <w:rPr>
          <w:rFonts w:ascii="Garamond" w:eastAsia="Garamond" w:hAnsi="Garamond" w:cs="Garamond"/>
          <w:b/>
          <w:sz w:val="24"/>
        </w:rPr>
        <w:t xml:space="preserve"> </w:t>
      </w:r>
    </w:p>
    <w:p w14:paraId="735B38A5" w14:textId="77777777" w:rsidR="00736494" w:rsidRDefault="009156A5">
      <w:pPr>
        <w:pStyle w:val="Heading2"/>
        <w:tabs>
          <w:tab w:val="center" w:pos="992"/>
          <w:tab w:val="center" w:pos="2319"/>
        </w:tabs>
        <w:ind w:left="0" w:firstLine="0"/>
      </w:pPr>
      <w:r>
        <w:rPr>
          <w:rFonts w:ascii="Calibri" w:eastAsia="Calibri" w:hAnsi="Calibri" w:cs="Calibri"/>
          <w:b w:val="0"/>
          <w:sz w:val="22"/>
          <w:u w:val="none"/>
        </w:rPr>
        <w:tab/>
      </w:r>
      <w:r>
        <w:rPr>
          <w:u w:val="none"/>
        </w:rPr>
        <w:t>7.</w:t>
      </w:r>
      <w:r>
        <w:rPr>
          <w:rFonts w:ascii="Arial" w:eastAsia="Arial" w:hAnsi="Arial" w:cs="Arial"/>
          <w:u w:val="none"/>
        </w:rPr>
        <w:t xml:space="preserve"> </w:t>
      </w:r>
      <w:r>
        <w:rPr>
          <w:rFonts w:ascii="Arial" w:eastAsia="Arial" w:hAnsi="Arial" w:cs="Arial"/>
          <w:u w:val="none"/>
        </w:rPr>
        <w:tab/>
      </w:r>
      <w:r>
        <w:t>Approval Process</w:t>
      </w:r>
      <w:r>
        <w:rPr>
          <w:u w:val="none"/>
        </w:rPr>
        <w:t xml:space="preserve"> </w:t>
      </w:r>
    </w:p>
    <w:p w14:paraId="0D9906C2" w14:textId="77777777" w:rsidR="00736494" w:rsidRDefault="009156A5">
      <w:pPr>
        <w:numPr>
          <w:ilvl w:val="0"/>
          <w:numId w:val="11"/>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Strongly recommend that an ADU that meets all zoning criteria can be approved by staff without a public hearing. </w:t>
      </w:r>
    </w:p>
    <w:p w14:paraId="42A4FAD9" w14:textId="77777777" w:rsidR="00736494" w:rsidRDefault="009156A5">
      <w:pPr>
        <w:numPr>
          <w:ilvl w:val="0"/>
          <w:numId w:val="11"/>
        </w:numPr>
        <w:spacing w:after="128"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Accessory apartments require a special exception.  </w:t>
      </w:r>
      <w:r>
        <w:rPr>
          <w:rFonts w:ascii="Garamond" w:eastAsia="Garamond" w:hAnsi="Garamond" w:cs="Garamond"/>
          <w:i/>
          <w:sz w:val="24"/>
        </w:rPr>
        <w:t>Revise per A.1.b above, to allow administrative review and approval Accessory apartment that meets the requirements.</w:t>
      </w:r>
      <w:r>
        <w:rPr>
          <w:rFonts w:ascii="Garamond" w:eastAsia="Garamond" w:hAnsi="Garamond" w:cs="Garamond"/>
          <w:b/>
          <w:sz w:val="24"/>
        </w:rPr>
        <w:t xml:space="preserve"> </w:t>
      </w:r>
    </w:p>
    <w:p w14:paraId="4E381D6A" w14:textId="77777777" w:rsidR="00736494" w:rsidRDefault="009156A5">
      <w:pPr>
        <w:spacing w:after="0"/>
        <w:ind w:left="2160"/>
      </w:pPr>
      <w:r>
        <w:rPr>
          <w:rFonts w:ascii="Garamond" w:eastAsia="Garamond" w:hAnsi="Garamond" w:cs="Garamond"/>
          <w:b/>
          <w:sz w:val="24"/>
        </w:rPr>
        <w:t xml:space="preserve"> </w:t>
      </w:r>
    </w:p>
    <w:p w14:paraId="59CD4964" w14:textId="77777777" w:rsidR="00736494" w:rsidRDefault="009156A5">
      <w:pPr>
        <w:tabs>
          <w:tab w:val="center" w:pos="992"/>
          <w:tab w:val="center" w:pos="4476"/>
        </w:tabs>
        <w:spacing w:after="163" w:line="268" w:lineRule="auto"/>
      </w:pPr>
      <w:r>
        <w:tab/>
      </w:r>
      <w:r>
        <w:rPr>
          <w:rFonts w:ascii="Garamond" w:eastAsia="Garamond" w:hAnsi="Garamond" w:cs="Garamond"/>
          <w:b/>
          <w:sz w:val="24"/>
        </w:rPr>
        <w:t>8.</w:t>
      </w:r>
      <w:r>
        <w:rPr>
          <w:rFonts w:ascii="Arial" w:eastAsia="Arial" w:hAnsi="Arial" w:cs="Arial"/>
          <w:b/>
          <w:sz w:val="24"/>
        </w:rPr>
        <w:t xml:space="preserve"> </w:t>
      </w:r>
      <w:r>
        <w:rPr>
          <w:rFonts w:ascii="Arial" w:eastAsia="Arial" w:hAnsi="Arial" w:cs="Arial"/>
          <w:b/>
          <w:sz w:val="24"/>
        </w:rPr>
        <w:tab/>
      </w:r>
      <w:r>
        <w:rPr>
          <w:rFonts w:ascii="Garamond" w:eastAsia="Garamond" w:hAnsi="Garamond" w:cs="Garamond"/>
          <w:b/>
          <w:sz w:val="24"/>
          <w:u w:val="single" w:color="000000"/>
        </w:rPr>
        <w:t>Vehicular Access</w:t>
      </w:r>
      <w:r>
        <w:rPr>
          <w:rFonts w:ascii="Garamond" w:eastAsia="Garamond" w:hAnsi="Garamond" w:cs="Garamond"/>
          <w:b/>
          <w:sz w:val="24"/>
        </w:rPr>
        <w:t xml:space="preserve"> (</w:t>
      </w:r>
      <w:r>
        <w:rPr>
          <w:rFonts w:ascii="Garamond" w:eastAsia="Garamond" w:hAnsi="Garamond" w:cs="Garamond"/>
          <w:sz w:val="24"/>
        </w:rPr>
        <w:t>for example, access off public street vs. alley</w:t>
      </w:r>
      <w:r>
        <w:rPr>
          <w:rFonts w:ascii="Garamond" w:eastAsia="Garamond" w:hAnsi="Garamond" w:cs="Garamond"/>
          <w:b/>
          <w:sz w:val="24"/>
        </w:rPr>
        <w:t xml:space="preserve">) </w:t>
      </w:r>
    </w:p>
    <w:p w14:paraId="33857205" w14:textId="77777777" w:rsidR="00736494" w:rsidRDefault="009156A5">
      <w:pPr>
        <w:numPr>
          <w:ilvl w:val="0"/>
          <w:numId w:val="12"/>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Recommend not specifying the vehicular access for the accessory dwelling, and allow staff-level </w:t>
      </w:r>
      <w:r>
        <w:rPr>
          <w:rFonts w:ascii="Garamond" w:eastAsia="Garamond" w:hAnsi="Garamond" w:cs="Garamond"/>
          <w:sz w:val="24"/>
        </w:rPr>
        <w:lastRenderedPageBreak/>
        <w:t xml:space="preserve">review and approval of adequate vehicular access.  The State law allows, but does not require, a local jurisdiction to prohibit conversion of an accessory structure to an accessory dwelling if the only vehicular access is an alley.   </w:t>
      </w:r>
    </w:p>
    <w:p w14:paraId="21740ADA" w14:textId="77777777" w:rsidR="00736494" w:rsidRDefault="009156A5">
      <w:pPr>
        <w:numPr>
          <w:ilvl w:val="0"/>
          <w:numId w:val="12"/>
        </w:numPr>
        <w:spacing w:after="163"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The type of vehicular access is</w:t>
      </w:r>
      <w:r>
        <w:rPr>
          <w:rFonts w:ascii="Garamond" w:eastAsia="Garamond" w:hAnsi="Garamond" w:cs="Garamond"/>
          <w:b/>
          <w:sz w:val="24"/>
        </w:rPr>
        <w:t xml:space="preserve"> </w:t>
      </w:r>
      <w:r>
        <w:rPr>
          <w:rFonts w:ascii="Garamond" w:eastAsia="Garamond" w:hAnsi="Garamond" w:cs="Garamond"/>
          <w:sz w:val="24"/>
        </w:rPr>
        <w:t xml:space="preserve">not specified.  </w:t>
      </w:r>
      <w:r>
        <w:rPr>
          <w:rFonts w:ascii="Garamond" w:eastAsia="Garamond" w:hAnsi="Garamond" w:cs="Garamond"/>
          <w:i/>
          <w:sz w:val="24"/>
        </w:rPr>
        <w:t>No change recommended.</w:t>
      </w:r>
      <w:r>
        <w:rPr>
          <w:rFonts w:ascii="Garamond" w:eastAsia="Garamond" w:hAnsi="Garamond" w:cs="Garamond"/>
          <w:sz w:val="24"/>
        </w:rPr>
        <w:t xml:space="preserve">      </w:t>
      </w:r>
      <w:r>
        <w:rPr>
          <w:rFonts w:ascii="Garamond" w:eastAsia="Garamond" w:hAnsi="Garamond" w:cs="Garamond"/>
          <w:b/>
          <w:sz w:val="24"/>
        </w:rPr>
        <w:t xml:space="preserve"> </w:t>
      </w:r>
    </w:p>
    <w:p w14:paraId="7BD10949" w14:textId="77777777" w:rsidR="00736494" w:rsidRDefault="009156A5">
      <w:pPr>
        <w:pStyle w:val="Heading2"/>
        <w:tabs>
          <w:tab w:val="center" w:pos="992"/>
          <w:tab w:val="center" w:pos="2389"/>
        </w:tabs>
        <w:ind w:left="0" w:firstLine="0"/>
      </w:pPr>
      <w:r>
        <w:rPr>
          <w:rFonts w:ascii="Calibri" w:eastAsia="Calibri" w:hAnsi="Calibri" w:cs="Calibri"/>
          <w:b w:val="0"/>
          <w:sz w:val="22"/>
          <w:u w:val="none"/>
        </w:rPr>
        <w:tab/>
      </w:r>
      <w:r>
        <w:rPr>
          <w:u w:val="none"/>
        </w:rPr>
        <w:t>9.</w:t>
      </w:r>
      <w:r>
        <w:rPr>
          <w:rFonts w:ascii="Arial" w:eastAsia="Arial" w:hAnsi="Arial" w:cs="Arial"/>
          <w:u w:val="none"/>
        </w:rPr>
        <w:t xml:space="preserve"> </w:t>
      </w:r>
      <w:r>
        <w:rPr>
          <w:rFonts w:ascii="Arial" w:eastAsia="Arial" w:hAnsi="Arial" w:cs="Arial"/>
          <w:u w:val="none"/>
        </w:rPr>
        <w:tab/>
      </w:r>
      <w:r>
        <w:t>Front Door Access</w:t>
      </w:r>
      <w:r>
        <w:rPr>
          <w:u w:val="none"/>
        </w:rPr>
        <w:t xml:space="preserve">  </w:t>
      </w:r>
    </w:p>
    <w:p w14:paraId="1D5E2949" w14:textId="77777777" w:rsidR="00736494" w:rsidRDefault="009156A5">
      <w:pPr>
        <w:numPr>
          <w:ilvl w:val="0"/>
          <w:numId w:val="13"/>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An ADU should have a direct exterior access that is separate from the existing primary dwelling.  Recommend that administrator has discretion to waive this requirement if the entrance does not go into or through the primary dwelling unit </w:t>
      </w:r>
    </w:p>
    <w:p w14:paraId="4062A16C" w14:textId="77777777" w:rsidR="00736494" w:rsidRDefault="009156A5">
      <w:pPr>
        <w:numPr>
          <w:ilvl w:val="0"/>
          <w:numId w:val="13"/>
        </w:numPr>
        <w:spacing w:after="165"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Exterior access is not mentioned.  </w:t>
      </w:r>
      <w:r>
        <w:rPr>
          <w:rFonts w:ascii="Garamond" w:eastAsia="Garamond" w:hAnsi="Garamond" w:cs="Garamond"/>
          <w:i/>
          <w:sz w:val="24"/>
        </w:rPr>
        <w:t>Recommend adding a provision regarding Front Door Access.</w:t>
      </w:r>
      <w:r>
        <w:rPr>
          <w:rFonts w:ascii="Garamond" w:eastAsia="Garamond" w:hAnsi="Garamond" w:cs="Garamond"/>
          <w:sz w:val="24"/>
        </w:rPr>
        <w:t xml:space="preserve">    </w:t>
      </w:r>
      <w:r>
        <w:rPr>
          <w:rFonts w:ascii="Garamond" w:eastAsia="Garamond" w:hAnsi="Garamond" w:cs="Garamond"/>
          <w:b/>
          <w:sz w:val="24"/>
        </w:rPr>
        <w:t xml:space="preserve"> </w:t>
      </w:r>
    </w:p>
    <w:p w14:paraId="22D78627" w14:textId="77777777" w:rsidR="00736494" w:rsidRDefault="009156A5">
      <w:pPr>
        <w:pStyle w:val="Heading2"/>
        <w:tabs>
          <w:tab w:val="center" w:pos="945"/>
          <w:tab w:val="center" w:pos="2512"/>
        </w:tabs>
        <w:ind w:left="0" w:firstLine="0"/>
      </w:pPr>
      <w:r>
        <w:rPr>
          <w:rFonts w:ascii="Calibri" w:eastAsia="Calibri" w:hAnsi="Calibri" w:cs="Calibri"/>
          <w:b w:val="0"/>
          <w:sz w:val="22"/>
          <w:u w:val="none"/>
        </w:rPr>
        <w:tab/>
      </w:r>
      <w:r>
        <w:rPr>
          <w:u w:val="none"/>
        </w:rPr>
        <w:t>10.</w:t>
      </w:r>
      <w:r>
        <w:rPr>
          <w:rFonts w:ascii="Arial" w:eastAsia="Arial" w:hAnsi="Arial" w:cs="Arial"/>
          <w:u w:val="none"/>
        </w:rPr>
        <w:t xml:space="preserve"> </w:t>
      </w:r>
      <w:r>
        <w:rPr>
          <w:rFonts w:ascii="Arial" w:eastAsia="Arial" w:hAnsi="Arial" w:cs="Arial"/>
          <w:u w:val="none"/>
        </w:rPr>
        <w:tab/>
      </w:r>
      <w:r>
        <w:t>Non-conforming lots</w:t>
      </w:r>
      <w:r>
        <w:rPr>
          <w:u w:val="none"/>
        </w:rPr>
        <w:t xml:space="preserve"> </w:t>
      </w:r>
    </w:p>
    <w:p w14:paraId="41423872" w14:textId="77777777" w:rsidR="00736494" w:rsidRDefault="009156A5">
      <w:pPr>
        <w:numPr>
          <w:ilvl w:val="0"/>
          <w:numId w:val="14"/>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To allow flexibility for an accessory dwelling on an existing lot of record with a non-conforming lot size and/or a nonconforming setback, allow an accessory dwelling so long as the ADU does not increase the non-conforming condition. </w:t>
      </w:r>
    </w:p>
    <w:p w14:paraId="247C42AF" w14:textId="77777777" w:rsidR="00736494" w:rsidRDefault="009156A5">
      <w:pPr>
        <w:numPr>
          <w:ilvl w:val="0"/>
          <w:numId w:val="14"/>
        </w:numPr>
        <w:spacing w:after="163"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Because accessory apartments are classified as an accessory structure, a non-conforming lot size would not prevent development of an accessory apartment so long as the required lot size and setbacks are provided. </w:t>
      </w:r>
      <w:r>
        <w:rPr>
          <w:rFonts w:ascii="Garamond" w:eastAsia="Garamond" w:hAnsi="Garamond" w:cs="Garamond"/>
          <w:i/>
          <w:sz w:val="24"/>
        </w:rPr>
        <w:t>No change recommended.</w:t>
      </w:r>
      <w:r>
        <w:rPr>
          <w:rFonts w:ascii="Garamond" w:eastAsia="Garamond" w:hAnsi="Garamond" w:cs="Garamond"/>
          <w:sz w:val="24"/>
        </w:rPr>
        <w:t xml:space="preserve">      </w:t>
      </w:r>
      <w:r>
        <w:rPr>
          <w:rFonts w:ascii="Garamond" w:eastAsia="Garamond" w:hAnsi="Garamond" w:cs="Garamond"/>
          <w:b/>
          <w:sz w:val="24"/>
        </w:rPr>
        <w:t xml:space="preserve"> </w:t>
      </w:r>
    </w:p>
    <w:p w14:paraId="4E17022C" w14:textId="77777777" w:rsidR="00736494" w:rsidRDefault="009156A5">
      <w:pPr>
        <w:pStyle w:val="Heading2"/>
        <w:tabs>
          <w:tab w:val="center" w:pos="954"/>
          <w:tab w:val="center" w:pos="2443"/>
        </w:tabs>
        <w:ind w:left="0" w:firstLine="0"/>
      </w:pPr>
      <w:r>
        <w:rPr>
          <w:rFonts w:ascii="Calibri" w:eastAsia="Calibri" w:hAnsi="Calibri" w:cs="Calibri"/>
          <w:b w:val="0"/>
          <w:sz w:val="22"/>
          <w:u w:val="none"/>
        </w:rPr>
        <w:tab/>
      </w:r>
      <w:r>
        <w:rPr>
          <w:u w:val="none"/>
        </w:rPr>
        <w:t>11.</w:t>
      </w:r>
      <w:r>
        <w:rPr>
          <w:rFonts w:ascii="Arial" w:eastAsia="Arial" w:hAnsi="Arial" w:cs="Arial"/>
          <w:u w:val="none"/>
        </w:rPr>
        <w:t xml:space="preserve"> </w:t>
      </w:r>
      <w:r>
        <w:rPr>
          <w:rFonts w:ascii="Arial" w:eastAsia="Arial" w:hAnsi="Arial" w:cs="Arial"/>
          <w:u w:val="none"/>
        </w:rPr>
        <w:tab/>
      </w:r>
      <w:r>
        <w:t>Short-Term Rentals</w:t>
      </w:r>
      <w:r>
        <w:rPr>
          <w:u w:val="none"/>
        </w:rPr>
        <w:t xml:space="preserve"> </w:t>
      </w:r>
    </w:p>
    <w:p w14:paraId="63BB4094" w14:textId="77777777" w:rsidR="00736494" w:rsidRDefault="009156A5">
      <w:pPr>
        <w:numPr>
          <w:ilvl w:val="0"/>
          <w:numId w:val="15"/>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No short-term rental restrictions</w:t>
      </w:r>
      <w:r>
        <w:rPr>
          <w:rFonts w:ascii="Garamond" w:eastAsia="Garamond" w:hAnsi="Garamond" w:cs="Garamond"/>
          <w:b/>
          <w:sz w:val="24"/>
        </w:rPr>
        <w:t xml:space="preserve"> </w:t>
      </w:r>
    </w:p>
    <w:p w14:paraId="21A94B81" w14:textId="77777777" w:rsidR="00736494" w:rsidRDefault="009156A5">
      <w:pPr>
        <w:numPr>
          <w:ilvl w:val="0"/>
          <w:numId w:val="15"/>
        </w:numPr>
        <w:spacing w:after="163"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 Salisbury does not prohibit short-term rental of ADU’s. The city does require operators of short-term rentals to obtain a rental license.  </w:t>
      </w:r>
      <w:r>
        <w:rPr>
          <w:rFonts w:ascii="Garamond" w:eastAsia="Garamond" w:hAnsi="Garamond" w:cs="Garamond"/>
          <w:i/>
          <w:sz w:val="24"/>
        </w:rPr>
        <w:t>No change recommended.</w:t>
      </w:r>
      <w:r>
        <w:rPr>
          <w:rFonts w:ascii="Garamond" w:eastAsia="Garamond" w:hAnsi="Garamond" w:cs="Garamond"/>
          <w:sz w:val="24"/>
        </w:rPr>
        <w:t xml:space="preserve">      </w:t>
      </w:r>
      <w:r>
        <w:rPr>
          <w:rFonts w:ascii="Garamond" w:eastAsia="Garamond" w:hAnsi="Garamond" w:cs="Garamond"/>
          <w:b/>
          <w:sz w:val="24"/>
        </w:rPr>
        <w:t xml:space="preserve"> </w:t>
      </w:r>
    </w:p>
    <w:p w14:paraId="76C25041" w14:textId="77777777" w:rsidR="00736494" w:rsidRDefault="009156A5">
      <w:pPr>
        <w:pStyle w:val="Heading2"/>
        <w:tabs>
          <w:tab w:val="center" w:pos="945"/>
          <w:tab w:val="center" w:pos="2551"/>
        </w:tabs>
        <w:ind w:left="0" w:firstLine="0"/>
      </w:pPr>
      <w:r>
        <w:rPr>
          <w:rFonts w:ascii="Calibri" w:eastAsia="Calibri" w:hAnsi="Calibri" w:cs="Calibri"/>
          <w:b w:val="0"/>
          <w:sz w:val="22"/>
          <w:u w:val="none"/>
        </w:rPr>
        <w:tab/>
      </w:r>
      <w:r>
        <w:rPr>
          <w:u w:val="none"/>
        </w:rPr>
        <w:t>12.</w:t>
      </w:r>
      <w:r>
        <w:rPr>
          <w:rFonts w:ascii="Arial" w:eastAsia="Arial" w:hAnsi="Arial" w:cs="Arial"/>
          <w:u w:val="none"/>
        </w:rPr>
        <w:t xml:space="preserve"> </w:t>
      </w:r>
      <w:r>
        <w:rPr>
          <w:rFonts w:ascii="Arial" w:eastAsia="Arial" w:hAnsi="Arial" w:cs="Arial"/>
          <w:u w:val="none"/>
        </w:rPr>
        <w:tab/>
      </w:r>
      <w:r>
        <w:t>APFO &amp; Impact Fees</w:t>
      </w:r>
      <w:r>
        <w:rPr>
          <w:u w:val="none"/>
        </w:rPr>
        <w:t xml:space="preserve"> </w:t>
      </w:r>
    </w:p>
    <w:p w14:paraId="178DB6E4" w14:textId="77777777" w:rsidR="00736494" w:rsidRDefault="009156A5">
      <w:pPr>
        <w:numPr>
          <w:ilvl w:val="0"/>
          <w:numId w:val="16"/>
        </w:numPr>
        <w:spacing w:after="163" w:line="268" w:lineRule="auto"/>
        <w:ind w:hanging="360"/>
      </w:pPr>
      <w:r>
        <w:rPr>
          <w:rFonts w:ascii="Garamond" w:eastAsia="Garamond" w:hAnsi="Garamond" w:cs="Garamond"/>
          <w:b/>
          <w:sz w:val="24"/>
        </w:rPr>
        <w:t xml:space="preserve">Recommendation:  </w:t>
      </w:r>
      <w:r>
        <w:rPr>
          <w:rFonts w:ascii="Garamond" w:eastAsia="Garamond" w:hAnsi="Garamond" w:cs="Garamond"/>
          <w:sz w:val="24"/>
        </w:rPr>
        <w:t xml:space="preserve">An ADU should not have to comply with the APFO Ordinance.  Due to their small size, ADU’s have not had noticeable impacts on public facilities. </w:t>
      </w:r>
    </w:p>
    <w:p w14:paraId="32AE043F" w14:textId="77777777" w:rsidR="00736494" w:rsidRDefault="009156A5">
      <w:pPr>
        <w:numPr>
          <w:ilvl w:val="0"/>
          <w:numId w:val="16"/>
        </w:numPr>
        <w:spacing w:after="128" w:line="268" w:lineRule="auto"/>
        <w:ind w:hanging="360"/>
      </w:pPr>
      <w:r>
        <w:rPr>
          <w:rFonts w:ascii="Garamond" w:eastAsia="Garamond" w:hAnsi="Garamond" w:cs="Garamond"/>
          <w:b/>
          <w:sz w:val="24"/>
        </w:rPr>
        <w:t xml:space="preserve">Salisbury Ordinance:  </w:t>
      </w:r>
      <w:r>
        <w:rPr>
          <w:rFonts w:ascii="Garamond" w:eastAsia="Garamond" w:hAnsi="Garamond" w:cs="Garamond"/>
          <w:sz w:val="24"/>
        </w:rPr>
        <w:t xml:space="preserve"> An ADU is considered an accessory structure and does not have to comply with APFO and Impact Fee requirements.  </w:t>
      </w:r>
      <w:r>
        <w:rPr>
          <w:rFonts w:ascii="Garamond" w:eastAsia="Garamond" w:hAnsi="Garamond" w:cs="Garamond"/>
          <w:i/>
          <w:sz w:val="24"/>
        </w:rPr>
        <w:t>No change recommended.</w:t>
      </w:r>
      <w:r>
        <w:rPr>
          <w:rFonts w:ascii="Garamond" w:eastAsia="Garamond" w:hAnsi="Garamond" w:cs="Garamond"/>
          <w:sz w:val="24"/>
        </w:rPr>
        <w:t xml:space="preserve">        </w:t>
      </w:r>
      <w:r>
        <w:rPr>
          <w:rFonts w:ascii="Garamond" w:eastAsia="Garamond" w:hAnsi="Garamond" w:cs="Garamond"/>
          <w:b/>
          <w:sz w:val="24"/>
        </w:rPr>
        <w:t xml:space="preserve"> </w:t>
      </w:r>
    </w:p>
    <w:p w14:paraId="58E5C04C" w14:textId="77777777" w:rsidR="00736494" w:rsidRDefault="009156A5">
      <w:pPr>
        <w:spacing w:after="163" w:line="268" w:lineRule="auto"/>
      </w:pPr>
      <w:r>
        <w:rPr>
          <w:rFonts w:ascii="Garamond" w:eastAsia="Garamond" w:hAnsi="Garamond" w:cs="Garamond"/>
          <w:b/>
          <w:sz w:val="24"/>
        </w:rPr>
        <w:lastRenderedPageBreak/>
        <w:t xml:space="preserve">(C) Building Code Issues.  </w:t>
      </w:r>
      <w:r>
        <w:rPr>
          <w:rFonts w:ascii="Garamond" w:eastAsia="Garamond" w:hAnsi="Garamond" w:cs="Garamond"/>
          <w:sz w:val="24"/>
        </w:rPr>
        <w:t xml:space="preserve">Most construction standards and utility requirements, such as fire sprinkler systems, and water and sewer service, are typically addressed in each jurisdiction’s building or health and safety codes.  These issues are typically not regulated in zoning code ordinances.  In some cases, the construction standards are mandated by state law.  You should be aware that certain building code requirements can add significantly to the cost of constructing an ADU, to the point that adding an ADU may become cost-prohibitive for some homeowners.  The following issues can have significant impact on the cost of constructing an ADU. </w:t>
      </w:r>
    </w:p>
    <w:p w14:paraId="010F1488" w14:textId="77777777" w:rsidR="00736494" w:rsidRDefault="009156A5">
      <w:pPr>
        <w:numPr>
          <w:ilvl w:val="0"/>
          <w:numId w:val="17"/>
        </w:numPr>
        <w:spacing w:after="8" w:line="268" w:lineRule="auto"/>
        <w:ind w:hanging="630"/>
      </w:pPr>
      <w:r>
        <w:rPr>
          <w:rFonts w:ascii="Garamond" w:eastAsia="Garamond" w:hAnsi="Garamond" w:cs="Garamond"/>
          <w:b/>
          <w:sz w:val="24"/>
        </w:rPr>
        <w:t xml:space="preserve">Fire Sprinkler Systems:  </w:t>
      </w:r>
      <w:r>
        <w:rPr>
          <w:rFonts w:ascii="Garamond" w:eastAsia="Garamond" w:hAnsi="Garamond" w:cs="Garamond"/>
          <w:sz w:val="24"/>
        </w:rPr>
        <w:t xml:space="preserve">By current State law, ADU’s are generally not required to have sprinkler systems if they are created within existing dwellings that do not have sprinkler systems.  However, Maryland requires sprinkler systems to be installed in all </w:t>
      </w:r>
    </w:p>
    <w:p w14:paraId="3A934E9E" w14:textId="77777777" w:rsidR="00736494" w:rsidRDefault="009156A5">
      <w:pPr>
        <w:spacing w:after="0" w:line="268" w:lineRule="auto"/>
        <w:ind w:left="1419"/>
      </w:pPr>
      <w:r>
        <w:rPr>
          <w:rFonts w:ascii="Garamond" w:eastAsia="Garamond" w:hAnsi="Garamond" w:cs="Garamond"/>
          <w:sz w:val="25"/>
        </w:rPr>
        <w:t>newly constructed</w:t>
      </w:r>
      <w:r>
        <w:rPr>
          <w:rFonts w:ascii="Garamond" w:eastAsia="Garamond" w:hAnsi="Garamond" w:cs="Garamond"/>
          <w:sz w:val="24"/>
        </w:rPr>
        <w:t xml:space="preserve"> single-family and two-family dwellings, including ADU’s. </w:t>
      </w:r>
    </w:p>
    <w:p w14:paraId="403BD97E" w14:textId="77777777" w:rsidR="00736494" w:rsidRDefault="009156A5">
      <w:pPr>
        <w:spacing w:after="163" w:line="268" w:lineRule="auto"/>
        <w:ind w:left="1440"/>
      </w:pPr>
      <w:r>
        <w:rPr>
          <w:rFonts w:ascii="Garamond" w:eastAsia="Garamond" w:hAnsi="Garamond" w:cs="Garamond"/>
          <w:sz w:val="24"/>
        </w:rPr>
        <w:t>Maryland Building Performance Standards Regulations, Md. Code Ann. §9.12.51.05(B)(1)(d).</w:t>
      </w:r>
      <w:r>
        <w:rPr>
          <w:rFonts w:ascii="Garamond" w:eastAsia="Garamond" w:hAnsi="Garamond" w:cs="Garamond"/>
          <w:i/>
          <w:sz w:val="24"/>
        </w:rPr>
        <w:t xml:space="preserve"> </w:t>
      </w:r>
      <w:r>
        <w:rPr>
          <w:rFonts w:ascii="Garamond" w:eastAsia="Garamond" w:hAnsi="Garamond" w:cs="Garamond"/>
          <w:b/>
          <w:sz w:val="24"/>
        </w:rPr>
        <w:t xml:space="preserve"> </w:t>
      </w:r>
    </w:p>
    <w:p w14:paraId="531390C3" w14:textId="77777777" w:rsidR="00736494" w:rsidRDefault="009156A5">
      <w:pPr>
        <w:numPr>
          <w:ilvl w:val="0"/>
          <w:numId w:val="17"/>
        </w:numPr>
        <w:spacing w:after="163" w:line="268" w:lineRule="auto"/>
        <w:ind w:hanging="630"/>
      </w:pPr>
      <w:r>
        <w:rPr>
          <w:rFonts w:ascii="Garamond" w:eastAsia="Garamond" w:hAnsi="Garamond" w:cs="Garamond"/>
          <w:b/>
          <w:sz w:val="24"/>
        </w:rPr>
        <w:t xml:space="preserve">Well &amp; Septic:  </w:t>
      </w:r>
      <w:r>
        <w:rPr>
          <w:rFonts w:ascii="Garamond" w:eastAsia="Garamond" w:hAnsi="Garamond" w:cs="Garamond"/>
          <w:sz w:val="24"/>
        </w:rPr>
        <w:t>To encourage ADU development, an ADU should be permitted to connect to the well and septic system for the primary dwelling unit if adequate capacity exists.  Typically well and septic systems are regulated by the local health department.  If local health departments require a separate system, we recommend that local jurisdictions should change their policy to allow joint use of existing sell and septic systems where physically possible.</w:t>
      </w:r>
      <w:r>
        <w:rPr>
          <w:rFonts w:ascii="Garamond" w:eastAsia="Garamond" w:hAnsi="Garamond" w:cs="Garamond"/>
          <w:b/>
          <w:sz w:val="24"/>
        </w:rPr>
        <w:t xml:space="preserve"> </w:t>
      </w:r>
    </w:p>
    <w:p w14:paraId="30A56873" w14:textId="77777777" w:rsidR="00736494" w:rsidRDefault="009156A5">
      <w:pPr>
        <w:numPr>
          <w:ilvl w:val="0"/>
          <w:numId w:val="17"/>
        </w:numPr>
        <w:spacing w:after="127" w:line="268" w:lineRule="auto"/>
        <w:ind w:hanging="630"/>
      </w:pPr>
      <w:r>
        <w:rPr>
          <w:rFonts w:ascii="Garamond" w:eastAsia="Garamond" w:hAnsi="Garamond" w:cs="Garamond"/>
          <w:b/>
          <w:sz w:val="24"/>
        </w:rPr>
        <w:t xml:space="preserve">Public Water &amp; Sewer:  </w:t>
      </w:r>
      <w:r>
        <w:rPr>
          <w:rFonts w:ascii="Garamond" w:eastAsia="Garamond" w:hAnsi="Garamond" w:cs="Garamond"/>
          <w:sz w:val="24"/>
        </w:rPr>
        <w:t>To encourage ADU development, wherever physically possible, an ADU should be permitted to be serviced by the same public water and sewer lines as the principal dwelling unit to unnecessary expense including additional tap fees, which can be very expensive.</w:t>
      </w:r>
      <w:r>
        <w:rPr>
          <w:rFonts w:ascii="Garamond" w:eastAsia="Garamond" w:hAnsi="Garamond" w:cs="Garamond"/>
          <w:b/>
          <w:sz w:val="24"/>
        </w:rPr>
        <w:t xml:space="preserve"> </w:t>
      </w:r>
    </w:p>
    <w:p w14:paraId="54A4D4EC" w14:textId="77777777" w:rsidR="00736494" w:rsidRDefault="009156A5">
      <w:pPr>
        <w:spacing w:after="207" w:line="268" w:lineRule="auto"/>
      </w:pPr>
      <w:r>
        <w:rPr>
          <w:rFonts w:ascii="Garamond" w:eastAsia="Garamond" w:hAnsi="Garamond" w:cs="Garamond"/>
          <w:b/>
          <w:sz w:val="24"/>
        </w:rPr>
        <w:t xml:space="preserve">(C) Summary recommendations for an ADU Ordinance for Salisbury.  </w:t>
      </w:r>
      <w:r>
        <w:rPr>
          <w:rFonts w:ascii="Garamond" w:eastAsia="Garamond" w:hAnsi="Garamond" w:cs="Garamond"/>
          <w:sz w:val="24"/>
        </w:rPr>
        <w:t>Many provisions of the existing accessory apartment provisions comply with the new state law and best practices.  A few aspects of the Salisbury accessory apartment ordinance should be revised as follows:</w:t>
      </w:r>
      <w:r>
        <w:rPr>
          <w:rFonts w:ascii="Garamond" w:eastAsia="Garamond" w:hAnsi="Garamond" w:cs="Garamond"/>
          <w:b/>
          <w:sz w:val="24"/>
        </w:rPr>
        <w:t xml:space="preserve"> </w:t>
      </w:r>
    </w:p>
    <w:p w14:paraId="52895712" w14:textId="77777777" w:rsidR="00736494" w:rsidRDefault="009156A5">
      <w:pPr>
        <w:numPr>
          <w:ilvl w:val="0"/>
          <w:numId w:val="18"/>
        </w:numPr>
        <w:spacing w:after="119" w:line="238" w:lineRule="auto"/>
        <w:ind w:hanging="446"/>
      </w:pPr>
      <w:r>
        <w:rPr>
          <w:rFonts w:ascii="Garamond" w:eastAsia="Garamond" w:hAnsi="Garamond" w:cs="Garamond"/>
          <w:b/>
          <w:sz w:val="24"/>
        </w:rPr>
        <w:t xml:space="preserve">Maximum Size:  </w:t>
      </w:r>
      <w:r>
        <w:rPr>
          <w:rFonts w:ascii="Garamond" w:eastAsia="Garamond" w:hAnsi="Garamond" w:cs="Garamond"/>
          <w:sz w:val="24"/>
        </w:rPr>
        <w:t>The maximum size of an accessory apartment, whether attached or detached, should be revised to comply with the state law, that an accessory apartment can be “no</w:t>
      </w:r>
      <w:r>
        <w:rPr>
          <w:rFonts w:ascii="Garamond" w:eastAsia="Garamond" w:hAnsi="Garamond" w:cs="Garamond"/>
          <w:sz w:val="23"/>
        </w:rPr>
        <w:t xml:space="preserve"> greater than 75% of the size of and subordinate in use to the primary single-family detached dwelling unit;” or alternatively, allow a maximum size of at least 900 -1,200 sq. ft.; or for apartments that occupy one floor within a primary dwelling (such as a basement or attic apartment), up to the size of the main floor footprint. </w:t>
      </w:r>
      <w:r>
        <w:rPr>
          <w:rFonts w:ascii="Garamond" w:eastAsia="Garamond" w:hAnsi="Garamond" w:cs="Garamond"/>
          <w:sz w:val="24"/>
        </w:rPr>
        <w:t xml:space="preserve"> </w:t>
      </w:r>
    </w:p>
    <w:p w14:paraId="79DE389C" w14:textId="77777777" w:rsidR="00736494" w:rsidRDefault="009156A5">
      <w:pPr>
        <w:numPr>
          <w:ilvl w:val="0"/>
          <w:numId w:val="18"/>
        </w:numPr>
        <w:spacing w:after="163" w:line="268" w:lineRule="auto"/>
        <w:ind w:hanging="446"/>
      </w:pPr>
      <w:r>
        <w:rPr>
          <w:rFonts w:ascii="Garamond" w:eastAsia="Garamond" w:hAnsi="Garamond" w:cs="Garamond"/>
          <w:b/>
          <w:sz w:val="24"/>
        </w:rPr>
        <w:t xml:space="preserve">Lot size:  </w:t>
      </w:r>
      <w:r>
        <w:rPr>
          <w:rFonts w:ascii="Garamond" w:eastAsia="Garamond" w:hAnsi="Garamond" w:cs="Garamond"/>
          <w:sz w:val="24"/>
        </w:rPr>
        <w:t xml:space="preserve">The requirement that accessory apartments are only permitted on lots that have minimum of 60 feet wide and contain 9,000 square feet of land area, should be removed, as the state law requires by right approval in any zone that allows single unit detached residential development.  </w:t>
      </w:r>
    </w:p>
    <w:p w14:paraId="5D2EA82A" w14:textId="77777777" w:rsidR="00736494" w:rsidRDefault="009156A5">
      <w:pPr>
        <w:numPr>
          <w:ilvl w:val="0"/>
          <w:numId w:val="18"/>
        </w:numPr>
        <w:spacing w:after="163" w:line="268" w:lineRule="auto"/>
        <w:ind w:hanging="446"/>
      </w:pPr>
      <w:r>
        <w:rPr>
          <w:rFonts w:ascii="Garamond" w:eastAsia="Garamond" w:hAnsi="Garamond" w:cs="Garamond"/>
          <w:b/>
          <w:sz w:val="24"/>
        </w:rPr>
        <w:lastRenderedPageBreak/>
        <w:t>Owner Occupancy:</w:t>
      </w:r>
      <w:r>
        <w:rPr>
          <w:rFonts w:ascii="Garamond" w:eastAsia="Garamond" w:hAnsi="Garamond" w:cs="Garamond"/>
          <w:sz w:val="24"/>
        </w:rPr>
        <w:t xml:space="preserve">  Ideally, owner-occupancy should not be required for either the primary dwelling or the accessory dwelling for maximum flexibility.  However, this may not be politically possible currently, and the policy could be revisited at a later date. </w:t>
      </w:r>
    </w:p>
    <w:p w14:paraId="61F637E2" w14:textId="77777777" w:rsidR="00736494" w:rsidRDefault="009156A5">
      <w:pPr>
        <w:numPr>
          <w:ilvl w:val="0"/>
          <w:numId w:val="18"/>
        </w:numPr>
        <w:spacing w:after="163" w:line="268" w:lineRule="auto"/>
        <w:ind w:hanging="446"/>
      </w:pPr>
      <w:r>
        <w:rPr>
          <w:rFonts w:ascii="Garamond" w:eastAsia="Garamond" w:hAnsi="Garamond" w:cs="Garamond"/>
          <w:b/>
          <w:sz w:val="24"/>
        </w:rPr>
        <w:t xml:space="preserve">Bedrooms: </w:t>
      </w:r>
      <w:r>
        <w:rPr>
          <w:rFonts w:ascii="Garamond" w:eastAsia="Garamond" w:hAnsi="Garamond" w:cs="Garamond"/>
          <w:sz w:val="24"/>
        </w:rPr>
        <w:t xml:space="preserve">A maximum of 2 bedrooms should be permitted. </w:t>
      </w:r>
    </w:p>
    <w:p w14:paraId="3DCAD722" w14:textId="77777777" w:rsidR="00736494" w:rsidRDefault="009156A5">
      <w:pPr>
        <w:numPr>
          <w:ilvl w:val="0"/>
          <w:numId w:val="18"/>
        </w:numPr>
        <w:spacing w:after="128" w:line="268" w:lineRule="auto"/>
        <w:ind w:hanging="446"/>
      </w:pPr>
      <w:r>
        <w:rPr>
          <w:rFonts w:ascii="Garamond" w:eastAsia="Garamond" w:hAnsi="Garamond" w:cs="Garamond"/>
          <w:b/>
          <w:sz w:val="24"/>
        </w:rPr>
        <w:t>Parking</w:t>
      </w:r>
      <w:r>
        <w:rPr>
          <w:rFonts w:ascii="Garamond" w:eastAsia="Garamond" w:hAnsi="Garamond" w:cs="Garamond"/>
          <w:sz w:val="24"/>
        </w:rPr>
        <w:t xml:space="preserve">: Additional parking should not be required if the principal dwelling has sufficient off-street parking, or adequate additional on-street parking is available within walking distance (500 feet) of the lot containing the accessory dwelling.  Also recommend staff-level authority to approve parking sufficiency.  </w:t>
      </w:r>
    </w:p>
    <w:p w14:paraId="29ABFAC3" w14:textId="77777777" w:rsidR="00736494" w:rsidRDefault="009156A5">
      <w:pPr>
        <w:spacing w:after="163" w:line="268" w:lineRule="auto"/>
        <w:ind w:firstLine="720"/>
      </w:pPr>
      <w:r>
        <w:rPr>
          <w:rFonts w:ascii="Garamond" w:eastAsia="Garamond" w:hAnsi="Garamond" w:cs="Garamond"/>
          <w:sz w:val="24"/>
        </w:rPr>
        <w:t xml:space="preserve">Thank you for the opportunity to review the local ordinance.  Please feel free to reach out if you have any questions.  </w:t>
      </w:r>
    </w:p>
    <w:p w14:paraId="45BFC249" w14:textId="77777777" w:rsidR="00736494" w:rsidRDefault="009156A5">
      <w:pPr>
        <w:spacing w:after="0" w:line="268" w:lineRule="auto"/>
        <w:ind w:left="4320" w:right="2183"/>
      </w:pPr>
      <w:r>
        <w:rPr>
          <w:rFonts w:ascii="Garamond" w:eastAsia="Garamond" w:hAnsi="Garamond" w:cs="Garamond"/>
          <w:sz w:val="24"/>
        </w:rPr>
        <w:t xml:space="preserve">Sincerely, </w:t>
      </w:r>
      <w:r>
        <w:rPr>
          <w:rFonts w:ascii="Times New Roman" w:eastAsia="Times New Roman" w:hAnsi="Times New Roman" w:cs="Times New Roman"/>
          <w:sz w:val="60"/>
        </w:rPr>
        <w:t xml:space="preserve">Teresa Bamberger </w:t>
      </w:r>
    </w:p>
    <w:p w14:paraId="688D543E" w14:textId="77777777" w:rsidR="00736494" w:rsidRDefault="009156A5">
      <w:pPr>
        <w:spacing w:after="168" w:line="268" w:lineRule="auto"/>
        <w:ind w:left="1502" w:right="520" w:hanging="10"/>
        <w:jc w:val="center"/>
      </w:pPr>
      <w:r>
        <w:rPr>
          <w:rFonts w:ascii="Garamond" w:eastAsia="Garamond" w:hAnsi="Garamond" w:cs="Garamond"/>
          <w:sz w:val="24"/>
        </w:rPr>
        <w:t xml:space="preserve">Teresa Bamberger </w:t>
      </w:r>
    </w:p>
    <w:p w14:paraId="10E5B3AE" w14:textId="77777777" w:rsidR="00736494" w:rsidRDefault="009156A5">
      <w:pPr>
        <w:spacing w:after="179"/>
        <w:ind w:right="661"/>
        <w:jc w:val="center"/>
      </w:pPr>
      <w:r>
        <w:rPr>
          <w:rFonts w:ascii="Garamond" w:eastAsia="Garamond" w:hAnsi="Garamond" w:cs="Garamond"/>
          <w:sz w:val="24"/>
        </w:rPr>
        <w:t xml:space="preserve"> </w:t>
      </w:r>
    </w:p>
    <w:p w14:paraId="572AD5ED" w14:textId="77777777" w:rsidR="00736494" w:rsidRDefault="009156A5">
      <w:pPr>
        <w:spacing w:after="9" w:line="268" w:lineRule="auto"/>
      </w:pPr>
      <w:r>
        <w:rPr>
          <w:rFonts w:ascii="Garamond" w:eastAsia="Garamond" w:hAnsi="Garamond" w:cs="Garamond"/>
          <w:sz w:val="24"/>
        </w:rPr>
        <w:t xml:space="preserve">Encl:   Salisbury “Accessory Apartment” Ordinance </w:t>
      </w:r>
    </w:p>
    <w:p w14:paraId="215DDC63" w14:textId="77777777" w:rsidR="00736494" w:rsidRDefault="009156A5">
      <w:pPr>
        <w:spacing w:after="45" w:line="268" w:lineRule="auto"/>
        <w:ind w:left="720"/>
      </w:pPr>
      <w:r>
        <w:rPr>
          <w:rFonts w:ascii="Garamond" w:eastAsia="Garamond" w:hAnsi="Garamond" w:cs="Garamond"/>
          <w:sz w:val="24"/>
        </w:rPr>
        <w:t xml:space="preserve">ADU Guide for Local Jurisdictions </w:t>
      </w:r>
    </w:p>
    <w:p w14:paraId="28DC7C09" w14:textId="77777777" w:rsidR="00736494" w:rsidRDefault="009156A5">
      <w:pPr>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Garamond" w:eastAsia="Garamond" w:hAnsi="Garamond" w:cs="Garamond"/>
          <w:sz w:val="24"/>
        </w:rPr>
        <w:t xml:space="preserve"> </w:t>
      </w:r>
    </w:p>
    <w:p w14:paraId="2D8F3658" w14:textId="77777777" w:rsidR="00736494" w:rsidRDefault="009156A5">
      <w:pPr>
        <w:spacing w:after="0"/>
        <w:ind w:left="4320"/>
        <w:jc w:val="both"/>
      </w:pPr>
      <w:r>
        <w:rPr>
          <w:rFonts w:ascii="Garamond" w:eastAsia="Garamond" w:hAnsi="Garamond" w:cs="Garamond"/>
          <w:sz w:val="24"/>
        </w:rPr>
        <w:t xml:space="preserve"> </w:t>
      </w:r>
    </w:p>
    <w:p w14:paraId="6A2495F9" w14:textId="77777777" w:rsidR="00736494" w:rsidRDefault="00736494">
      <w:pPr>
        <w:sectPr w:rsidR="00736494">
          <w:headerReference w:type="even" r:id="rId11"/>
          <w:headerReference w:type="default" r:id="rId12"/>
          <w:footerReference w:type="even" r:id="rId13"/>
          <w:footerReference w:type="default" r:id="rId14"/>
          <w:headerReference w:type="first" r:id="rId15"/>
          <w:footerReference w:type="first" r:id="rId16"/>
          <w:pgSz w:w="12240" w:h="15840"/>
          <w:pgMar w:top="720" w:right="1439" w:bottom="1682" w:left="1440" w:header="720" w:footer="720" w:gutter="0"/>
          <w:cols w:space="720"/>
          <w:titlePg/>
        </w:sectPr>
      </w:pPr>
    </w:p>
    <w:p w14:paraId="189A60A7" w14:textId="77777777" w:rsidR="00736494" w:rsidRDefault="009156A5">
      <w:pPr>
        <w:pStyle w:val="Heading3"/>
        <w:ind w:left="38" w:right="3"/>
        <w:jc w:val="center"/>
      </w:pPr>
      <w:r>
        <w:rPr>
          <w:rFonts w:ascii="Calibri" w:eastAsia="Calibri" w:hAnsi="Calibri" w:cs="Calibri"/>
          <w:color w:val="000000"/>
          <w:sz w:val="20"/>
        </w:rPr>
        <w:lastRenderedPageBreak/>
        <w:t xml:space="preserve">Title 17 - ZONING Chapter 17.164 R-5S, R-8S AND R-10S RESIDENTIAL DISTRICTS </w:t>
      </w:r>
    </w:p>
    <w:p w14:paraId="757AAF6C" w14:textId="77777777" w:rsidR="00736494" w:rsidRDefault="009156A5">
      <w:pPr>
        <w:spacing w:after="0"/>
        <w:ind w:left="75"/>
        <w:jc w:val="center"/>
      </w:pPr>
      <w:r>
        <w:rPr>
          <w:sz w:val="20"/>
        </w:rPr>
        <w:t xml:space="preserve"> </w:t>
      </w:r>
    </w:p>
    <w:p w14:paraId="7EA8AA62" w14:textId="77777777" w:rsidR="00736494" w:rsidRDefault="009156A5">
      <w:pPr>
        <w:spacing w:after="40"/>
        <w:ind w:left="-30" w:right="-59"/>
      </w:pPr>
      <w:r>
        <w:rPr>
          <w:noProof/>
        </w:rPr>
        <mc:AlternateContent>
          <mc:Choice Requires="wpg">
            <w:drawing>
              <wp:inline distT="0" distB="0" distL="0" distR="0" wp14:anchorId="24C2B75B" wp14:editId="5D00E41D">
                <wp:extent cx="5984241" cy="6350"/>
                <wp:effectExtent l="0" t="0" r="0" b="0"/>
                <wp:docPr id="31213" name="Group 31213"/>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37716" name="Shape 37716"/>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213" style="width:471.2pt;height:0.5pt;mso-position-horizontal-relative:char;mso-position-vertical-relative:line" coordsize="59842,63">
                <v:shape id="Shape 37717" style="position:absolute;width:59842;height:91;left:0;top:0;" coordsize="5984241,9144" path="m0,0l5984241,0l5984241,9144l0,9144l0,0">
                  <v:stroke weight="0pt" endcap="flat" joinstyle="miter" miterlimit="10" on="false" color="#000000" opacity="0"/>
                  <v:fill on="true" color="#000000"/>
                </v:shape>
              </v:group>
            </w:pict>
          </mc:Fallback>
        </mc:AlternateContent>
      </w:r>
    </w:p>
    <w:p w14:paraId="279D5E06" w14:textId="77777777" w:rsidR="00736494" w:rsidRDefault="009156A5">
      <w:pPr>
        <w:spacing w:after="221"/>
        <w:ind w:left="75"/>
        <w:jc w:val="center"/>
      </w:pPr>
      <w:r>
        <w:rPr>
          <w:sz w:val="20"/>
        </w:rPr>
        <w:t xml:space="preserve"> </w:t>
      </w:r>
    </w:p>
    <w:p w14:paraId="5B2CDFB9" w14:textId="77777777" w:rsidR="00736494" w:rsidRDefault="009156A5">
      <w:pPr>
        <w:spacing w:after="406"/>
        <w:ind w:left="23"/>
        <w:jc w:val="center"/>
      </w:pPr>
      <w:r>
        <w:rPr>
          <w:b/>
          <w:sz w:val="28"/>
        </w:rPr>
        <w:t xml:space="preserve">Chapter 17.164 R-5S, R-8S AND R-10S RESIDENTIAL DISTRICTS </w:t>
      </w:r>
    </w:p>
    <w:p w14:paraId="638FAA5A" w14:textId="77777777" w:rsidR="00736494" w:rsidRDefault="009156A5">
      <w:pPr>
        <w:spacing w:after="101"/>
        <w:ind w:left="-5" w:hanging="10"/>
      </w:pPr>
      <w:r>
        <w:rPr>
          <w:b/>
          <w:sz w:val="24"/>
        </w:rPr>
        <w:t xml:space="preserve">17.164.010 Purpose. </w:t>
      </w:r>
    </w:p>
    <w:p w14:paraId="198718FD" w14:textId="77777777" w:rsidR="00736494" w:rsidRDefault="009156A5">
      <w:pPr>
        <w:spacing w:after="122" w:line="249" w:lineRule="auto"/>
        <w:ind w:firstLine="476"/>
      </w:pPr>
      <w:r>
        <w:rPr>
          <w:sz w:val="20"/>
        </w:rPr>
        <w:t xml:space="preserve">The purpose of the R-5S, R-8S and R-10S residential districts is to preserve the existing character of both newly planned and existing single-family residential areas in order to promote and to enhance the quality of life and environmental attributes which are essential parts of the city. The uses permitted in these districts are limited primarily to single-family residential, with selected nonresidential uses which provide a service to the residents of an area or which, by their nature, require a residential environment. Multifamily developments, therefore, are incompatible because they generate an undue concentration of population and increased traffic which alter the predominantly single-family residential character of these areas. The following uses, standards and area regulations were developed based upon this purpose.  </w:t>
      </w:r>
    </w:p>
    <w:p w14:paraId="6ED650AA" w14:textId="77777777" w:rsidR="00736494" w:rsidRDefault="009156A5">
      <w:pPr>
        <w:spacing w:after="449" w:line="249" w:lineRule="auto"/>
        <w:ind w:left="10" w:hanging="10"/>
      </w:pPr>
      <w:r>
        <w:rPr>
          <w:sz w:val="20"/>
        </w:rPr>
        <w:t xml:space="preserve">(Prior code § 150-20.1) </w:t>
      </w:r>
    </w:p>
    <w:p w14:paraId="2EE170C9" w14:textId="77777777" w:rsidR="00736494" w:rsidRDefault="009156A5">
      <w:pPr>
        <w:spacing w:after="101"/>
        <w:ind w:left="-5" w:hanging="10"/>
      </w:pPr>
      <w:r>
        <w:rPr>
          <w:b/>
          <w:sz w:val="24"/>
        </w:rPr>
        <w:t xml:space="preserve">17.164.020 Permitted uses. </w:t>
      </w:r>
    </w:p>
    <w:p w14:paraId="19B09F92" w14:textId="77777777" w:rsidR="00736494" w:rsidRDefault="009156A5">
      <w:pPr>
        <w:spacing w:after="122" w:line="249" w:lineRule="auto"/>
        <w:ind w:left="471" w:hanging="10"/>
      </w:pPr>
      <w:r>
        <w:rPr>
          <w:sz w:val="20"/>
        </w:rPr>
        <w:t xml:space="preserve">Permitted uses shall be as follows:  </w:t>
      </w:r>
    </w:p>
    <w:p w14:paraId="27E661A2" w14:textId="77777777" w:rsidR="00736494" w:rsidRDefault="009156A5">
      <w:pPr>
        <w:numPr>
          <w:ilvl w:val="0"/>
          <w:numId w:val="19"/>
        </w:numPr>
        <w:spacing w:after="8" w:line="249" w:lineRule="auto"/>
        <w:ind w:hanging="475"/>
      </w:pPr>
      <w:r>
        <w:rPr>
          <w:sz w:val="20"/>
        </w:rPr>
        <w:t xml:space="preserve">Cluster development of single-family detached dwellings or patio dwellings in accordance with chapter </w:t>
      </w:r>
    </w:p>
    <w:p w14:paraId="4C3C432A" w14:textId="77777777" w:rsidR="00736494" w:rsidRDefault="009156A5">
      <w:pPr>
        <w:spacing w:after="122" w:line="249" w:lineRule="auto"/>
        <w:ind w:left="961" w:hanging="10"/>
      </w:pPr>
      <w:r>
        <w:rPr>
          <w:sz w:val="20"/>
        </w:rPr>
        <w:t xml:space="preserve">17.176.  </w:t>
      </w:r>
    </w:p>
    <w:p w14:paraId="3EE98EC1" w14:textId="77777777" w:rsidR="00736494" w:rsidRDefault="009156A5">
      <w:pPr>
        <w:numPr>
          <w:ilvl w:val="0"/>
          <w:numId w:val="19"/>
        </w:numPr>
        <w:spacing w:after="122" w:line="249" w:lineRule="auto"/>
        <w:ind w:hanging="475"/>
      </w:pPr>
      <w:r>
        <w:rPr>
          <w:sz w:val="20"/>
        </w:rPr>
        <w:t xml:space="preserve">Cultivation of land;  </w:t>
      </w:r>
    </w:p>
    <w:p w14:paraId="21165C8E" w14:textId="77777777" w:rsidR="00736494" w:rsidRDefault="009156A5">
      <w:pPr>
        <w:numPr>
          <w:ilvl w:val="0"/>
          <w:numId w:val="19"/>
        </w:numPr>
        <w:spacing w:after="122" w:line="249" w:lineRule="auto"/>
        <w:ind w:hanging="475"/>
      </w:pPr>
      <w:r>
        <w:rPr>
          <w:sz w:val="20"/>
        </w:rPr>
        <w:t xml:space="preserve">Dwellings.  </w:t>
      </w:r>
    </w:p>
    <w:p w14:paraId="71E97046" w14:textId="77777777" w:rsidR="00736494" w:rsidRDefault="009156A5">
      <w:pPr>
        <w:numPr>
          <w:ilvl w:val="1"/>
          <w:numId w:val="19"/>
        </w:numPr>
        <w:spacing w:after="122" w:line="249" w:lineRule="auto"/>
        <w:ind w:hanging="475"/>
      </w:pPr>
      <w:r>
        <w:rPr>
          <w:sz w:val="20"/>
        </w:rPr>
        <w:t xml:space="preserve">Patio, in accordance with chapter 17.200;  </w:t>
      </w:r>
    </w:p>
    <w:p w14:paraId="23853294" w14:textId="77777777" w:rsidR="00736494" w:rsidRDefault="009156A5">
      <w:pPr>
        <w:numPr>
          <w:ilvl w:val="1"/>
          <w:numId w:val="19"/>
        </w:numPr>
        <w:spacing w:after="122" w:line="249" w:lineRule="auto"/>
        <w:ind w:hanging="475"/>
      </w:pPr>
      <w:r>
        <w:rPr>
          <w:sz w:val="20"/>
        </w:rPr>
        <w:t xml:space="preserve">Single-family detached;  </w:t>
      </w:r>
    </w:p>
    <w:p w14:paraId="47F22910" w14:textId="77777777" w:rsidR="00736494" w:rsidRDefault="009156A5">
      <w:pPr>
        <w:numPr>
          <w:ilvl w:val="0"/>
          <w:numId w:val="19"/>
        </w:numPr>
        <w:spacing w:after="122" w:line="249" w:lineRule="auto"/>
        <w:ind w:hanging="475"/>
      </w:pPr>
      <w:r>
        <w:rPr>
          <w:sz w:val="20"/>
        </w:rPr>
        <w:t xml:space="preserve">Firehouse;  </w:t>
      </w:r>
    </w:p>
    <w:p w14:paraId="301E27BA" w14:textId="77777777" w:rsidR="00736494" w:rsidRDefault="009156A5">
      <w:pPr>
        <w:numPr>
          <w:ilvl w:val="0"/>
          <w:numId w:val="19"/>
        </w:numPr>
        <w:spacing w:after="122" w:line="249" w:lineRule="auto"/>
        <w:ind w:hanging="475"/>
      </w:pPr>
      <w:r>
        <w:rPr>
          <w:sz w:val="20"/>
        </w:rPr>
        <w:t xml:space="preserve">Park and playground, public and private, in accordance with chapter 17.220;  </w:t>
      </w:r>
    </w:p>
    <w:p w14:paraId="0FE6C70A" w14:textId="77777777" w:rsidR="00736494" w:rsidRDefault="009156A5">
      <w:pPr>
        <w:numPr>
          <w:ilvl w:val="0"/>
          <w:numId w:val="19"/>
        </w:numPr>
        <w:spacing w:after="122" w:line="249" w:lineRule="auto"/>
        <w:ind w:hanging="475"/>
      </w:pPr>
      <w:r>
        <w:rPr>
          <w:sz w:val="20"/>
        </w:rPr>
        <w:t xml:space="preserve">School of general instruction, in accordance with chapter 17.220.  </w:t>
      </w:r>
    </w:p>
    <w:p w14:paraId="236E9484" w14:textId="77777777" w:rsidR="00736494" w:rsidRDefault="009156A5">
      <w:pPr>
        <w:spacing w:after="450" w:line="249" w:lineRule="auto"/>
        <w:ind w:left="10" w:hanging="10"/>
      </w:pPr>
      <w:r>
        <w:rPr>
          <w:sz w:val="20"/>
        </w:rPr>
        <w:t xml:space="preserve">(Prior code § 150-20.2) </w:t>
      </w:r>
    </w:p>
    <w:p w14:paraId="6444432C" w14:textId="77777777" w:rsidR="00736494" w:rsidRDefault="009156A5">
      <w:pPr>
        <w:spacing w:after="101"/>
        <w:ind w:left="-5" w:hanging="10"/>
      </w:pPr>
      <w:r>
        <w:rPr>
          <w:b/>
          <w:sz w:val="24"/>
        </w:rPr>
        <w:t xml:space="preserve">17.164.030 Uses permitted by special exception. </w:t>
      </w:r>
    </w:p>
    <w:p w14:paraId="29D1EA2B" w14:textId="77777777" w:rsidR="00736494" w:rsidRDefault="009156A5">
      <w:pPr>
        <w:spacing w:after="122" w:line="249" w:lineRule="auto"/>
        <w:ind w:left="471" w:hanging="10"/>
      </w:pPr>
      <w:r>
        <w:rPr>
          <w:sz w:val="20"/>
        </w:rPr>
        <w:t xml:space="preserve">Uses permitted by special exception shall be as follows:  </w:t>
      </w:r>
    </w:p>
    <w:p w14:paraId="75113EC5" w14:textId="77777777" w:rsidR="00736494" w:rsidRDefault="009156A5">
      <w:pPr>
        <w:numPr>
          <w:ilvl w:val="0"/>
          <w:numId w:val="20"/>
        </w:numPr>
        <w:spacing w:after="122" w:line="249" w:lineRule="auto"/>
        <w:ind w:hanging="475"/>
      </w:pPr>
      <w:r>
        <w:rPr>
          <w:noProof/>
        </w:rPr>
        <mc:AlternateContent>
          <mc:Choice Requires="wpg">
            <w:drawing>
              <wp:anchor distT="0" distB="0" distL="114300" distR="114300" simplePos="0" relativeHeight="251658240" behindDoc="1" locked="0" layoutInCell="1" allowOverlap="1" wp14:anchorId="063C265F" wp14:editId="4C98CB53">
                <wp:simplePos x="0" y="0"/>
                <wp:positionH relativeFrom="column">
                  <wp:posOffset>603568</wp:posOffset>
                </wp:positionH>
                <wp:positionV relativeFrom="paragraph">
                  <wp:posOffset>-25526</wp:posOffset>
                </wp:positionV>
                <wp:extent cx="5275961" cy="1086231"/>
                <wp:effectExtent l="0" t="0" r="0" b="0"/>
                <wp:wrapNone/>
                <wp:docPr id="31215" name="Group 31215"/>
                <wp:cNvGraphicFramePr/>
                <a:graphic xmlns:a="http://schemas.openxmlformats.org/drawingml/2006/main">
                  <a:graphicData uri="http://schemas.microsoft.com/office/word/2010/wordprocessingGroup">
                    <wpg:wgp>
                      <wpg:cNvGrpSpPr/>
                      <wpg:grpSpPr>
                        <a:xfrm>
                          <a:off x="0" y="0"/>
                          <a:ext cx="5275961" cy="1086231"/>
                          <a:chOff x="0" y="0"/>
                          <a:chExt cx="5275961" cy="1086231"/>
                        </a:xfrm>
                      </wpg:grpSpPr>
                      <wps:wsp>
                        <wps:cNvPr id="37718" name="Shape 37718"/>
                        <wps:cNvSpPr/>
                        <wps:spPr>
                          <a:xfrm>
                            <a:off x="0" y="0"/>
                            <a:ext cx="5006086" cy="155575"/>
                          </a:xfrm>
                          <a:custGeom>
                            <a:avLst/>
                            <a:gdLst/>
                            <a:ahLst/>
                            <a:cxnLst/>
                            <a:rect l="0" t="0" r="0" b="0"/>
                            <a:pathLst>
                              <a:path w="5006086" h="155575">
                                <a:moveTo>
                                  <a:pt x="0" y="0"/>
                                </a:moveTo>
                                <a:lnTo>
                                  <a:pt x="5006086" y="0"/>
                                </a:lnTo>
                                <a:lnTo>
                                  <a:pt x="5006086" y="155575"/>
                                </a:lnTo>
                                <a:lnTo>
                                  <a:pt x="0" y="15557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719" name="Shape 37719"/>
                        <wps:cNvSpPr/>
                        <wps:spPr>
                          <a:xfrm>
                            <a:off x="0" y="155639"/>
                            <a:ext cx="5123561" cy="155893"/>
                          </a:xfrm>
                          <a:custGeom>
                            <a:avLst/>
                            <a:gdLst/>
                            <a:ahLst/>
                            <a:cxnLst/>
                            <a:rect l="0" t="0" r="0" b="0"/>
                            <a:pathLst>
                              <a:path w="5123561" h="155893">
                                <a:moveTo>
                                  <a:pt x="0" y="0"/>
                                </a:moveTo>
                                <a:lnTo>
                                  <a:pt x="5123561" y="0"/>
                                </a:lnTo>
                                <a:lnTo>
                                  <a:pt x="5123561" y="155893"/>
                                </a:lnTo>
                                <a:lnTo>
                                  <a:pt x="0" y="155893"/>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720" name="Shape 37720"/>
                        <wps:cNvSpPr/>
                        <wps:spPr>
                          <a:xfrm>
                            <a:off x="0" y="311531"/>
                            <a:ext cx="5275961" cy="155575"/>
                          </a:xfrm>
                          <a:custGeom>
                            <a:avLst/>
                            <a:gdLst/>
                            <a:ahLst/>
                            <a:cxnLst/>
                            <a:rect l="0" t="0" r="0" b="0"/>
                            <a:pathLst>
                              <a:path w="5275961" h="155575">
                                <a:moveTo>
                                  <a:pt x="0" y="0"/>
                                </a:moveTo>
                                <a:lnTo>
                                  <a:pt x="5275961" y="0"/>
                                </a:lnTo>
                                <a:lnTo>
                                  <a:pt x="5275961" y="155575"/>
                                </a:lnTo>
                                <a:lnTo>
                                  <a:pt x="0" y="15557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721" name="Shape 37721"/>
                        <wps:cNvSpPr/>
                        <wps:spPr>
                          <a:xfrm>
                            <a:off x="0" y="467106"/>
                            <a:ext cx="4856481" cy="155575"/>
                          </a:xfrm>
                          <a:custGeom>
                            <a:avLst/>
                            <a:gdLst/>
                            <a:ahLst/>
                            <a:cxnLst/>
                            <a:rect l="0" t="0" r="0" b="0"/>
                            <a:pathLst>
                              <a:path w="4856481" h="155575">
                                <a:moveTo>
                                  <a:pt x="0" y="0"/>
                                </a:moveTo>
                                <a:lnTo>
                                  <a:pt x="4856481" y="0"/>
                                </a:lnTo>
                                <a:lnTo>
                                  <a:pt x="4856481" y="155575"/>
                                </a:lnTo>
                                <a:lnTo>
                                  <a:pt x="0" y="15557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722" name="Shape 37722"/>
                        <wps:cNvSpPr/>
                        <wps:spPr>
                          <a:xfrm>
                            <a:off x="0" y="622681"/>
                            <a:ext cx="5072761" cy="155575"/>
                          </a:xfrm>
                          <a:custGeom>
                            <a:avLst/>
                            <a:gdLst/>
                            <a:ahLst/>
                            <a:cxnLst/>
                            <a:rect l="0" t="0" r="0" b="0"/>
                            <a:pathLst>
                              <a:path w="5072761" h="155575">
                                <a:moveTo>
                                  <a:pt x="0" y="0"/>
                                </a:moveTo>
                                <a:lnTo>
                                  <a:pt x="5072761" y="0"/>
                                </a:lnTo>
                                <a:lnTo>
                                  <a:pt x="5072761" y="155575"/>
                                </a:lnTo>
                                <a:lnTo>
                                  <a:pt x="0" y="15557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723" name="Shape 37723"/>
                        <wps:cNvSpPr/>
                        <wps:spPr>
                          <a:xfrm>
                            <a:off x="0" y="778256"/>
                            <a:ext cx="5158486" cy="152400"/>
                          </a:xfrm>
                          <a:custGeom>
                            <a:avLst/>
                            <a:gdLst/>
                            <a:ahLst/>
                            <a:cxnLst/>
                            <a:rect l="0" t="0" r="0" b="0"/>
                            <a:pathLst>
                              <a:path w="5158486" h="152400">
                                <a:moveTo>
                                  <a:pt x="0" y="0"/>
                                </a:moveTo>
                                <a:lnTo>
                                  <a:pt x="5158486" y="0"/>
                                </a:lnTo>
                                <a:lnTo>
                                  <a:pt x="5158486" y="152400"/>
                                </a:lnTo>
                                <a:lnTo>
                                  <a:pt x="0" y="1524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724" name="Shape 37724"/>
                        <wps:cNvSpPr/>
                        <wps:spPr>
                          <a:xfrm>
                            <a:off x="0" y="930656"/>
                            <a:ext cx="692468" cy="155575"/>
                          </a:xfrm>
                          <a:custGeom>
                            <a:avLst/>
                            <a:gdLst/>
                            <a:ahLst/>
                            <a:cxnLst/>
                            <a:rect l="0" t="0" r="0" b="0"/>
                            <a:pathLst>
                              <a:path w="692468" h="155575">
                                <a:moveTo>
                                  <a:pt x="0" y="0"/>
                                </a:moveTo>
                                <a:lnTo>
                                  <a:pt x="692468" y="0"/>
                                </a:lnTo>
                                <a:lnTo>
                                  <a:pt x="692468" y="155575"/>
                                </a:lnTo>
                                <a:lnTo>
                                  <a:pt x="0" y="15557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31215" style="width:415.43pt;height:85.53pt;position:absolute;z-index:-2147483500;mso-position-horizontal-relative:text;mso-position-horizontal:absolute;margin-left:47.525pt;mso-position-vertical-relative:text;margin-top:-2.01001pt;" coordsize="52759,10862">
                <v:shape id="Shape 37725" style="position:absolute;width:50060;height:1555;left:0;top:0;" coordsize="5006086,155575" path="m0,0l5006086,0l5006086,155575l0,155575l0,0">
                  <v:stroke weight="0pt" endcap="flat" joinstyle="miter" miterlimit="10" on="false" color="#000000" opacity="0"/>
                  <v:fill on="true" color="#ffff00"/>
                </v:shape>
                <v:shape id="Shape 37726" style="position:absolute;width:51235;height:1558;left:0;top:1556;" coordsize="5123561,155893" path="m0,0l5123561,0l5123561,155893l0,155893l0,0">
                  <v:stroke weight="0pt" endcap="flat" joinstyle="miter" miterlimit="10" on="false" color="#000000" opacity="0"/>
                  <v:fill on="true" color="#ffff00"/>
                </v:shape>
                <v:shape id="Shape 37727" style="position:absolute;width:52759;height:1555;left:0;top:3115;" coordsize="5275961,155575" path="m0,0l5275961,0l5275961,155575l0,155575l0,0">
                  <v:stroke weight="0pt" endcap="flat" joinstyle="miter" miterlimit="10" on="false" color="#000000" opacity="0"/>
                  <v:fill on="true" color="#ffff00"/>
                </v:shape>
                <v:shape id="Shape 37728" style="position:absolute;width:48564;height:1555;left:0;top:4671;" coordsize="4856481,155575" path="m0,0l4856481,0l4856481,155575l0,155575l0,0">
                  <v:stroke weight="0pt" endcap="flat" joinstyle="miter" miterlimit="10" on="false" color="#000000" opacity="0"/>
                  <v:fill on="true" color="#ffff00"/>
                </v:shape>
                <v:shape id="Shape 37729" style="position:absolute;width:50727;height:1555;left:0;top:6226;" coordsize="5072761,155575" path="m0,0l5072761,0l5072761,155575l0,155575l0,0">
                  <v:stroke weight="0pt" endcap="flat" joinstyle="miter" miterlimit="10" on="false" color="#000000" opacity="0"/>
                  <v:fill on="true" color="#ffff00"/>
                </v:shape>
                <v:shape id="Shape 37730" style="position:absolute;width:51584;height:1524;left:0;top:7782;" coordsize="5158486,152400" path="m0,0l5158486,0l5158486,152400l0,152400l0,0">
                  <v:stroke weight="0pt" endcap="flat" joinstyle="miter" miterlimit="10" on="false" color="#000000" opacity="0"/>
                  <v:fill on="true" color="#ffff00"/>
                </v:shape>
                <v:shape id="Shape 37731" style="position:absolute;width:6924;height:1555;left:0;top:9306;" coordsize="692468,155575" path="m0,0l692468,0l692468,155575l0,155575l0,0">
                  <v:stroke weight="0pt" endcap="flat" joinstyle="miter" miterlimit="10" on="false" color="#000000" opacity="0"/>
                  <v:fill on="true" color="#ffff00"/>
                </v:shape>
              </v:group>
            </w:pict>
          </mc:Fallback>
        </mc:AlternateContent>
      </w:r>
      <w:r>
        <w:rPr>
          <w:sz w:val="20"/>
        </w:rPr>
        <w:t xml:space="preserve">An accessory apartment of not over five hundred (500) gross square feet in size within an </w:t>
      </w:r>
      <w:proofErr w:type="spellStart"/>
      <w:r>
        <w:rPr>
          <w:sz w:val="20"/>
        </w:rPr>
        <w:t>owneroccupied</w:t>
      </w:r>
      <w:proofErr w:type="spellEnd"/>
      <w:r>
        <w:rPr>
          <w:sz w:val="20"/>
        </w:rPr>
        <w:t xml:space="preserve"> single-family detached dwelling or in an accessory building on a lot upon which an </w:t>
      </w:r>
      <w:proofErr w:type="spellStart"/>
      <w:r>
        <w:rPr>
          <w:sz w:val="20"/>
        </w:rPr>
        <w:t>owneroccupied</w:t>
      </w:r>
      <w:proofErr w:type="spellEnd"/>
      <w:r>
        <w:rPr>
          <w:sz w:val="20"/>
        </w:rPr>
        <w:t xml:space="preserve"> single-family detached dwelling is located. The lot shall have a minimum sixty (60) feet width and contain at least nine thousand (9,000) square feet of land area. All parking required for an accessory apartment shall be in the rear yard no closer than three (3) feet to all adjoining property lines, provided that an accessory apartment shall not be allowed in any dwelling where guest rooms are provided;  </w:t>
      </w:r>
    </w:p>
    <w:p w14:paraId="31A212E3" w14:textId="77777777" w:rsidR="00736494" w:rsidRDefault="009156A5">
      <w:pPr>
        <w:numPr>
          <w:ilvl w:val="0"/>
          <w:numId w:val="20"/>
        </w:numPr>
        <w:spacing w:after="330" w:line="249" w:lineRule="auto"/>
        <w:ind w:hanging="475"/>
      </w:pPr>
      <w:r>
        <w:rPr>
          <w:sz w:val="20"/>
        </w:rPr>
        <w:lastRenderedPageBreak/>
        <w:t xml:space="preserve">Care home, in accordance with chapter 17.220;  </w:t>
      </w:r>
    </w:p>
    <w:p w14:paraId="31BB6A1A" w14:textId="77777777" w:rsidR="00736494" w:rsidRDefault="009156A5">
      <w:pPr>
        <w:spacing w:after="0"/>
        <w:ind w:left="70"/>
        <w:jc w:val="center"/>
      </w:pPr>
      <w:r>
        <w:rPr>
          <w:sz w:val="18"/>
        </w:rPr>
        <w:t xml:space="preserve"> </w:t>
      </w:r>
    </w:p>
    <w:p w14:paraId="7DE246E7" w14:textId="77777777" w:rsidR="00736494" w:rsidRDefault="009156A5">
      <w:pPr>
        <w:spacing w:after="75"/>
        <w:ind w:left="-30" w:right="-59"/>
      </w:pPr>
      <w:r>
        <w:rPr>
          <w:noProof/>
        </w:rPr>
        <mc:AlternateContent>
          <mc:Choice Requires="wpg">
            <w:drawing>
              <wp:inline distT="0" distB="0" distL="0" distR="0" wp14:anchorId="1CBD0D91" wp14:editId="1BBE220F">
                <wp:extent cx="5984241" cy="6350"/>
                <wp:effectExtent l="0" t="0" r="0" b="0"/>
                <wp:docPr id="31214" name="Group 31214"/>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37732" name="Shape 37732"/>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214" style="width:471.2pt;height:0.5pt;mso-position-horizontal-relative:char;mso-position-vertical-relative:line" coordsize="59842,63">
                <v:shape id="Shape 37733" style="position:absolute;width:59842;height:91;left:0;top:0;" coordsize="5984241,9144" path="m0,0l5984241,0l5984241,9144l0,9144l0,0">
                  <v:stroke weight="0pt" endcap="flat" joinstyle="miter" miterlimit="10" on="false" color="#000000" opacity="0"/>
                  <v:fill on="true" color="#000000"/>
                </v:shape>
              </v:group>
            </w:pict>
          </mc:Fallback>
        </mc:AlternateContent>
      </w:r>
    </w:p>
    <w:p w14:paraId="6CC6F57D" w14:textId="77777777" w:rsidR="00736494" w:rsidRDefault="009156A5">
      <w:pPr>
        <w:spacing w:after="0"/>
      </w:pPr>
      <w:r>
        <w:rPr>
          <w:sz w:val="18"/>
        </w:rPr>
        <w:t xml:space="preserve">Salisbury, Maryland, Municipal Code </w:t>
      </w:r>
    </w:p>
    <w:p w14:paraId="27C4BA11" w14:textId="77777777" w:rsidR="00736494" w:rsidRDefault="009156A5">
      <w:pPr>
        <w:numPr>
          <w:ilvl w:val="0"/>
          <w:numId w:val="20"/>
        </w:numPr>
        <w:spacing w:after="122" w:line="249" w:lineRule="auto"/>
        <w:ind w:hanging="475"/>
      </w:pPr>
      <w:r>
        <w:rPr>
          <w:sz w:val="20"/>
        </w:rPr>
        <w:t xml:space="preserve">Cemetery, on a minimum tract of ten acres;  </w:t>
      </w:r>
    </w:p>
    <w:p w14:paraId="4122E92E" w14:textId="77777777" w:rsidR="00736494" w:rsidRDefault="009156A5">
      <w:pPr>
        <w:numPr>
          <w:ilvl w:val="0"/>
          <w:numId w:val="20"/>
        </w:numPr>
        <w:spacing w:after="8" w:line="249" w:lineRule="auto"/>
        <w:ind w:hanging="475"/>
      </w:pPr>
      <w:r>
        <w:rPr>
          <w:sz w:val="20"/>
        </w:rPr>
        <w:t xml:space="preserve">Church and other place of worship on a lot size of less than five acres, in accordance with chapter </w:t>
      </w:r>
    </w:p>
    <w:p w14:paraId="73585CBB" w14:textId="77777777" w:rsidR="00736494" w:rsidRDefault="009156A5">
      <w:pPr>
        <w:spacing w:after="122" w:line="249" w:lineRule="auto"/>
        <w:ind w:left="961" w:hanging="10"/>
      </w:pPr>
      <w:r>
        <w:rPr>
          <w:sz w:val="20"/>
        </w:rPr>
        <w:t xml:space="preserve">17.220, excluding bus storage, cemetery, day-care center, school of general instruction and gymnasium as accessory uses;  </w:t>
      </w:r>
    </w:p>
    <w:p w14:paraId="1FEA55AA" w14:textId="77777777" w:rsidR="00736494" w:rsidRDefault="009156A5">
      <w:pPr>
        <w:numPr>
          <w:ilvl w:val="0"/>
          <w:numId w:val="20"/>
        </w:numPr>
        <w:spacing w:after="122" w:line="249" w:lineRule="auto"/>
        <w:ind w:hanging="475"/>
      </w:pPr>
      <w:r>
        <w:rPr>
          <w:sz w:val="20"/>
        </w:rPr>
        <w:t xml:space="preserve">Church and other place of worship on a minimum lot of five acres, in accordance with chapter 17.220, including an activity building with offices and meeting rooms, cemetery, day-care center, school of general instruction and gymnasium as accessory uses;  </w:t>
      </w:r>
    </w:p>
    <w:p w14:paraId="7BE52B9A" w14:textId="77777777" w:rsidR="00736494" w:rsidRDefault="009156A5">
      <w:pPr>
        <w:numPr>
          <w:ilvl w:val="0"/>
          <w:numId w:val="20"/>
        </w:numPr>
        <w:spacing w:after="122" w:line="249" w:lineRule="auto"/>
        <w:ind w:hanging="475"/>
      </w:pPr>
      <w:r>
        <w:rPr>
          <w:sz w:val="20"/>
        </w:rPr>
        <w:t xml:space="preserve">Day-care facilities for the elderly and handicapped;  </w:t>
      </w:r>
    </w:p>
    <w:p w14:paraId="21C6B2C6" w14:textId="77777777" w:rsidR="00736494" w:rsidRDefault="009156A5">
      <w:pPr>
        <w:numPr>
          <w:ilvl w:val="0"/>
          <w:numId w:val="20"/>
        </w:numPr>
        <w:spacing w:after="122" w:line="249" w:lineRule="auto"/>
        <w:ind w:hanging="475"/>
      </w:pPr>
      <w:r>
        <w:rPr>
          <w:sz w:val="20"/>
        </w:rPr>
        <w:t xml:space="preserve">Group domiciliary care facility;  </w:t>
      </w:r>
    </w:p>
    <w:p w14:paraId="5EC52B45" w14:textId="77777777" w:rsidR="00736494" w:rsidRDefault="009156A5">
      <w:pPr>
        <w:numPr>
          <w:ilvl w:val="0"/>
          <w:numId w:val="20"/>
        </w:numPr>
        <w:spacing w:after="122" w:line="249" w:lineRule="auto"/>
        <w:ind w:hanging="475"/>
      </w:pPr>
      <w:r>
        <w:rPr>
          <w:sz w:val="20"/>
        </w:rPr>
        <w:t xml:space="preserve">Rental of guest rooms to not more than two roomers in an owner-occupied single-family detached dwelling on a minimum lot of five thousand (5,000) square feet, provided that one additional parking space shall be provided in the rear yard for each roomer, and provided further that the rental of guest rooms shall not be allowed in any dwelling or on any lot that contains an accessory apartment.  </w:t>
      </w:r>
    </w:p>
    <w:p w14:paraId="4D19F1FF" w14:textId="77777777" w:rsidR="00736494" w:rsidRDefault="009156A5">
      <w:pPr>
        <w:spacing w:after="449" w:line="249" w:lineRule="auto"/>
        <w:ind w:left="10" w:hanging="10"/>
      </w:pPr>
      <w:r>
        <w:rPr>
          <w:sz w:val="20"/>
        </w:rPr>
        <w:t xml:space="preserve">(Prior code § 150-20.3) </w:t>
      </w:r>
    </w:p>
    <w:p w14:paraId="7765AE1B" w14:textId="77777777" w:rsidR="00736494" w:rsidRDefault="009156A5">
      <w:pPr>
        <w:spacing w:after="101"/>
        <w:ind w:left="-5" w:hanging="10"/>
      </w:pPr>
      <w:r>
        <w:rPr>
          <w:b/>
          <w:sz w:val="24"/>
        </w:rPr>
        <w:t xml:space="preserve">17.164.040 Uses permitted by ordinance permit. </w:t>
      </w:r>
    </w:p>
    <w:p w14:paraId="12D54649" w14:textId="77777777" w:rsidR="00736494" w:rsidRDefault="009156A5">
      <w:pPr>
        <w:spacing w:after="122" w:line="249" w:lineRule="auto"/>
        <w:ind w:left="471" w:hanging="10"/>
      </w:pPr>
      <w:r>
        <w:rPr>
          <w:sz w:val="20"/>
        </w:rPr>
        <w:t xml:space="preserve">Uses permitted by ordinance permit by the city council shall be as follows:  </w:t>
      </w:r>
    </w:p>
    <w:p w14:paraId="1AF61765" w14:textId="77777777" w:rsidR="00736494" w:rsidRDefault="009156A5">
      <w:pPr>
        <w:numPr>
          <w:ilvl w:val="0"/>
          <w:numId w:val="21"/>
        </w:numPr>
        <w:spacing w:after="122" w:line="249" w:lineRule="auto"/>
        <w:ind w:hanging="475"/>
      </w:pPr>
      <w:r>
        <w:rPr>
          <w:sz w:val="20"/>
        </w:rPr>
        <w:t xml:space="preserve">Day-care center or nursery school, in accordance with chapter 17.220;  </w:t>
      </w:r>
    </w:p>
    <w:p w14:paraId="6DEC2BFF" w14:textId="77777777" w:rsidR="00736494" w:rsidRDefault="009156A5">
      <w:pPr>
        <w:numPr>
          <w:ilvl w:val="0"/>
          <w:numId w:val="21"/>
        </w:numPr>
        <w:spacing w:after="122" w:line="249" w:lineRule="auto"/>
        <w:ind w:hanging="475"/>
      </w:pPr>
      <w:r>
        <w:rPr>
          <w:sz w:val="20"/>
        </w:rPr>
        <w:t xml:space="preserve">Utility substation, in accordance with chapter 17.220.  </w:t>
      </w:r>
    </w:p>
    <w:p w14:paraId="1860B938" w14:textId="77777777" w:rsidR="00736494" w:rsidRDefault="009156A5">
      <w:pPr>
        <w:spacing w:after="449" w:line="249" w:lineRule="auto"/>
        <w:ind w:left="10" w:hanging="10"/>
      </w:pPr>
      <w:r>
        <w:rPr>
          <w:sz w:val="20"/>
        </w:rPr>
        <w:t xml:space="preserve">(Prior code § 150-20.4) </w:t>
      </w:r>
    </w:p>
    <w:p w14:paraId="51AE5C41" w14:textId="77777777" w:rsidR="00736494" w:rsidRDefault="009156A5">
      <w:pPr>
        <w:spacing w:after="101"/>
        <w:ind w:left="-5" w:hanging="10"/>
      </w:pPr>
      <w:r>
        <w:rPr>
          <w:b/>
          <w:sz w:val="24"/>
        </w:rPr>
        <w:t xml:space="preserve">17.164.050 Accessory uses and structures. </w:t>
      </w:r>
    </w:p>
    <w:p w14:paraId="29160B52" w14:textId="77777777" w:rsidR="00736494" w:rsidRDefault="009156A5">
      <w:pPr>
        <w:spacing w:after="122" w:line="249" w:lineRule="auto"/>
        <w:ind w:left="471" w:hanging="10"/>
      </w:pPr>
      <w:r>
        <w:rPr>
          <w:sz w:val="20"/>
        </w:rPr>
        <w:t xml:space="preserve">Accessory uses and structures shall be as follows:  </w:t>
      </w:r>
    </w:p>
    <w:p w14:paraId="4DBD1D3C" w14:textId="77777777" w:rsidR="00736494" w:rsidRDefault="009156A5">
      <w:pPr>
        <w:numPr>
          <w:ilvl w:val="0"/>
          <w:numId w:val="22"/>
        </w:numPr>
        <w:spacing w:after="122" w:line="249" w:lineRule="auto"/>
        <w:ind w:hanging="475"/>
      </w:pPr>
      <w:r>
        <w:rPr>
          <w:sz w:val="20"/>
        </w:rPr>
        <w:t xml:space="preserve">Cloister or clerical housing in the same lot with a church or other place of worship, meeting lot area and/or standards required for each individual use;  </w:t>
      </w:r>
    </w:p>
    <w:p w14:paraId="6B175578" w14:textId="77777777" w:rsidR="00736494" w:rsidRDefault="009156A5">
      <w:pPr>
        <w:numPr>
          <w:ilvl w:val="0"/>
          <w:numId w:val="22"/>
        </w:numPr>
        <w:spacing w:after="122" w:line="249" w:lineRule="auto"/>
        <w:ind w:hanging="475"/>
      </w:pPr>
      <w:r>
        <w:rPr>
          <w:sz w:val="20"/>
        </w:rPr>
        <w:t xml:space="preserve">Home occupation;  </w:t>
      </w:r>
    </w:p>
    <w:p w14:paraId="7936D227" w14:textId="77777777" w:rsidR="00736494" w:rsidRDefault="009156A5">
      <w:pPr>
        <w:numPr>
          <w:ilvl w:val="0"/>
          <w:numId w:val="22"/>
        </w:numPr>
        <w:spacing w:after="122" w:line="249" w:lineRule="auto"/>
        <w:ind w:hanging="475"/>
      </w:pPr>
      <w:r>
        <w:rPr>
          <w:sz w:val="20"/>
        </w:rPr>
        <w:t xml:space="preserve">Home office;  </w:t>
      </w:r>
    </w:p>
    <w:p w14:paraId="47292238" w14:textId="77777777" w:rsidR="00736494" w:rsidRDefault="009156A5">
      <w:pPr>
        <w:numPr>
          <w:ilvl w:val="0"/>
          <w:numId w:val="22"/>
        </w:numPr>
        <w:spacing w:after="122" w:line="249" w:lineRule="auto"/>
        <w:ind w:hanging="475"/>
      </w:pPr>
      <w:r>
        <w:rPr>
          <w:sz w:val="20"/>
        </w:rPr>
        <w:t xml:space="preserve">Family day-care home;  </w:t>
      </w:r>
    </w:p>
    <w:p w14:paraId="1012A885" w14:textId="77777777" w:rsidR="00736494" w:rsidRDefault="009156A5">
      <w:pPr>
        <w:numPr>
          <w:ilvl w:val="0"/>
          <w:numId w:val="22"/>
        </w:numPr>
        <w:spacing w:after="122" w:line="249" w:lineRule="auto"/>
        <w:ind w:hanging="475"/>
      </w:pPr>
      <w:r>
        <w:rPr>
          <w:sz w:val="20"/>
        </w:rPr>
        <w:t xml:space="preserve">Private garages and other accessory uses normally associated with a residential use, such as but not limited to detached home workshop, swimming pool, cabana, greenhouse, private studio and boathouse, all of which shall be incidental to the use of the property as a residence;  </w:t>
      </w:r>
    </w:p>
    <w:p w14:paraId="36D7B88E" w14:textId="77777777" w:rsidR="00736494" w:rsidRDefault="009156A5">
      <w:pPr>
        <w:numPr>
          <w:ilvl w:val="0"/>
          <w:numId w:val="22"/>
        </w:numPr>
        <w:spacing w:after="122" w:line="249" w:lineRule="auto"/>
        <w:ind w:hanging="475"/>
      </w:pPr>
      <w:r>
        <w:rPr>
          <w:sz w:val="20"/>
        </w:rPr>
        <w:lastRenderedPageBreak/>
        <w:t xml:space="preserve">Storage of recreational vehicles and boats on residential lots, limited to two in any combination, in back of the front building setback line, where such recreation vehicles and boats are for the use and enjoyment of the resident thereon;  </w:t>
      </w:r>
    </w:p>
    <w:p w14:paraId="0CCFE8F2" w14:textId="77777777" w:rsidR="00736494" w:rsidRDefault="009156A5">
      <w:pPr>
        <w:numPr>
          <w:ilvl w:val="0"/>
          <w:numId w:val="22"/>
        </w:numPr>
        <w:spacing w:after="122" w:line="249" w:lineRule="auto"/>
        <w:ind w:hanging="475"/>
      </w:pPr>
      <w:r>
        <w:rPr>
          <w:sz w:val="20"/>
        </w:rPr>
        <w:t xml:space="preserve">Other accessory uses and structures clearly incidental to, customary to and associated with the permitted use.  </w:t>
      </w:r>
    </w:p>
    <w:p w14:paraId="1F2838B9" w14:textId="77777777" w:rsidR="00736494" w:rsidRDefault="009156A5">
      <w:pPr>
        <w:spacing w:after="122" w:line="249" w:lineRule="auto"/>
        <w:ind w:left="10" w:hanging="10"/>
      </w:pPr>
      <w:r>
        <w:rPr>
          <w:sz w:val="20"/>
        </w:rPr>
        <w:t xml:space="preserve">(Prior code § 150-20.5) </w:t>
      </w:r>
    </w:p>
    <w:p w14:paraId="6514DC82" w14:textId="77777777" w:rsidR="00736494" w:rsidRDefault="009156A5">
      <w:pPr>
        <w:spacing w:after="101"/>
        <w:ind w:left="-5" w:hanging="10"/>
      </w:pPr>
      <w:r>
        <w:rPr>
          <w:b/>
          <w:sz w:val="24"/>
        </w:rPr>
        <w:t xml:space="preserve">17.164.060 Development standards. </w:t>
      </w:r>
    </w:p>
    <w:p w14:paraId="6C5C561E" w14:textId="77777777" w:rsidR="00736494" w:rsidRDefault="009156A5">
      <w:pPr>
        <w:spacing w:after="122" w:line="249" w:lineRule="auto"/>
        <w:ind w:left="471" w:hanging="10"/>
      </w:pPr>
      <w:r>
        <w:rPr>
          <w:sz w:val="20"/>
        </w:rPr>
        <w:t xml:space="preserve">Development standards for the R-5S, R-8S and R-10S residential districts shall be as follows:  </w:t>
      </w:r>
    </w:p>
    <w:p w14:paraId="2D60B682" w14:textId="77777777" w:rsidR="00736494" w:rsidRDefault="009156A5">
      <w:pPr>
        <w:spacing w:after="122" w:line="249" w:lineRule="auto"/>
        <w:ind w:left="936" w:hanging="475"/>
      </w:pPr>
      <w:r>
        <w:rPr>
          <w:sz w:val="20"/>
        </w:rPr>
        <w:t xml:space="preserve">A. </w:t>
      </w:r>
      <w:r>
        <w:rPr>
          <w:sz w:val="20"/>
        </w:rPr>
        <w:tab/>
        <w:t xml:space="preserve">Minimum Lot Requirements. All lots hereafter established shall meet the following minimum requirements:  </w:t>
      </w:r>
    </w:p>
    <w:p w14:paraId="72466B92" w14:textId="77777777" w:rsidR="00736494" w:rsidRDefault="009156A5">
      <w:pPr>
        <w:tabs>
          <w:tab w:val="center" w:pos="1169"/>
          <w:tab w:val="center" w:pos="3512"/>
          <w:tab w:val="center" w:pos="5849"/>
          <w:tab w:val="center" w:pos="8193"/>
        </w:tabs>
        <w:spacing w:after="8" w:line="249" w:lineRule="auto"/>
      </w:pPr>
      <w:r>
        <w:tab/>
      </w:r>
      <w:r>
        <w:rPr>
          <w:sz w:val="20"/>
        </w:rPr>
        <w:t xml:space="preserve"> District  </w:t>
      </w:r>
      <w:r>
        <w:rPr>
          <w:sz w:val="20"/>
        </w:rPr>
        <w:tab/>
        <w:t xml:space="preserve">Lot Area  </w:t>
      </w:r>
      <w:r>
        <w:rPr>
          <w:sz w:val="20"/>
        </w:rPr>
        <w:tab/>
        <w:t xml:space="preserve">Interior Lot Width  </w:t>
      </w:r>
      <w:r>
        <w:rPr>
          <w:sz w:val="20"/>
        </w:rPr>
        <w:tab/>
        <w:t xml:space="preserve">Corner Lot Width  </w:t>
      </w:r>
    </w:p>
    <w:p w14:paraId="1299B1C9" w14:textId="77777777" w:rsidR="00736494" w:rsidRDefault="009156A5">
      <w:pPr>
        <w:tabs>
          <w:tab w:val="center" w:pos="3509"/>
          <w:tab w:val="center" w:pos="5850"/>
          <w:tab w:val="center" w:pos="8191"/>
        </w:tabs>
        <w:spacing w:after="8" w:line="249" w:lineRule="auto"/>
      </w:pPr>
      <w:r>
        <w:tab/>
      </w:r>
      <w:r>
        <w:rPr>
          <w:sz w:val="20"/>
        </w:rPr>
        <w:t xml:space="preserve">(square feet)  </w:t>
      </w:r>
      <w:r>
        <w:rPr>
          <w:sz w:val="20"/>
        </w:rPr>
        <w:tab/>
        <w:t xml:space="preserve">(feet)  </w:t>
      </w:r>
      <w:r>
        <w:rPr>
          <w:sz w:val="20"/>
        </w:rPr>
        <w:tab/>
        <w:t xml:space="preserve">(feet)  </w:t>
      </w:r>
    </w:p>
    <w:p w14:paraId="2D46154E" w14:textId="77777777" w:rsidR="00736494" w:rsidRDefault="009156A5">
      <w:pPr>
        <w:pStyle w:val="Heading3"/>
        <w:ind w:left="38" w:right="77"/>
        <w:jc w:val="center"/>
      </w:pPr>
      <w:r>
        <w:rPr>
          <w:rFonts w:ascii="Calibri" w:eastAsia="Calibri" w:hAnsi="Calibri" w:cs="Calibri"/>
          <w:color w:val="000000"/>
          <w:sz w:val="20"/>
        </w:rPr>
        <w:t xml:space="preserve">R-5S  </w:t>
      </w:r>
      <w:r>
        <w:rPr>
          <w:rFonts w:ascii="Calibri" w:eastAsia="Calibri" w:hAnsi="Calibri" w:cs="Calibri"/>
          <w:color w:val="000000"/>
          <w:sz w:val="20"/>
        </w:rPr>
        <w:tab/>
        <w:t xml:space="preserve">5,000  </w:t>
      </w:r>
      <w:r>
        <w:rPr>
          <w:rFonts w:ascii="Calibri" w:eastAsia="Calibri" w:hAnsi="Calibri" w:cs="Calibri"/>
          <w:color w:val="000000"/>
          <w:sz w:val="20"/>
        </w:rPr>
        <w:tab/>
        <w:t xml:space="preserve">50  </w:t>
      </w:r>
      <w:r>
        <w:rPr>
          <w:rFonts w:ascii="Calibri" w:eastAsia="Calibri" w:hAnsi="Calibri" w:cs="Calibri"/>
          <w:color w:val="000000"/>
          <w:sz w:val="20"/>
        </w:rPr>
        <w:tab/>
        <w:t xml:space="preserve">65  R-8S  </w:t>
      </w:r>
      <w:r>
        <w:rPr>
          <w:rFonts w:ascii="Calibri" w:eastAsia="Calibri" w:hAnsi="Calibri" w:cs="Calibri"/>
          <w:color w:val="000000"/>
          <w:sz w:val="20"/>
        </w:rPr>
        <w:tab/>
        <w:t xml:space="preserve">8,000  </w:t>
      </w:r>
      <w:r>
        <w:rPr>
          <w:rFonts w:ascii="Calibri" w:eastAsia="Calibri" w:hAnsi="Calibri" w:cs="Calibri"/>
          <w:color w:val="000000"/>
          <w:sz w:val="20"/>
        </w:rPr>
        <w:tab/>
        <w:t xml:space="preserve">60  </w:t>
      </w:r>
      <w:r>
        <w:rPr>
          <w:rFonts w:ascii="Calibri" w:eastAsia="Calibri" w:hAnsi="Calibri" w:cs="Calibri"/>
          <w:color w:val="000000"/>
          <w:sz w:val="20"/>
        </w:rPr>
        <w:tab/>
        <w:t xml:space="preserve">75  </w:t>
      </w:r>
    </w:p>
    <w:p w14:paraId="74AC2E65" w14:textId="77777777" w:rsidR="00736494" w:rsidRDefault="009156A5">
      <w:pPr>
        <w:tabs>
          <w:tab w:val="center" w:pos="1171"/>
          <w:tab w:val="center" w:pos="3512"/>
          <w:tab w:val="center" w:pos="5853"/>
          <w:tab w:val="center" w:pos="8194"/>
        </w:tabs>
        <w:spacing w:after="29" w:line="249" w:lineRule="auto"/>
      </w:pPr>
      <w:r>
        <w:tab/>
      </w:r>
      <w:r>
        <w:rPr>
          <w:sz w:val="20"/>
        </w:rPr>
        <w:t xml:space="preserve">R-10S  </w:t>
      </w:r>
      <w:r>
        <w:rPr>
          <w:sz w:val="20"/>
        </w:rPr>
        <w:tab/>
        <w:t xml:space="preserve">10,000  </w:t>
      </w:r>
      <w:r>
        <w:rPr>
          <w:sz w:val="20"/>
        </w:rPr>
        <w:tab/>
        <w:t xml:space="preserve">70  </w:t>
      </w:r>
      <w:r>
        <w:rPr>
          <w:sz w:val="20"/>
        </w:rPr>
        <w:tab/>
        <w:t xml:space="preserve">85  </w:t>
      </w:r>
    </w:p>
    <w:p w14:paraId="0C7CC976" w14:textId="77777777" w:rsidR="00736494" w:rsidRDefault="009156A5">
      <w:pPr>
        <w:spacing w:after="115"/>
      </w:pPr>
      <w:r>
        <w:rPr>
          <w:sz w:val="20"/>
        </w:rPr>
        <w:t xml:space="preserve"> </w:t>
      </w:r>
    </w:p>
    <w:p w14:paraId="2A497595" w14:textId="77777777" w:rsidR="00736494" w:rsidRDefault="009156A5">
      <w:pPr>
        <w:tabs>
          <w:tab w:val="center" w:pos="556"/>
          <w:tab w:val="center" w:pos="3417"/>
        </w:tabs>
        <w:spacing w:after="122" w:line="249" w:lineRule="auto"/>
      </w:pPr>
      <w:r>
        <w:tab/>
      </w:r>
      <w:r>
        <w:rPr>
          <w:sz w:val="20"/>
        </w:rPr>
        <w:t xml:space="preserve">B. </w:t>
      </w:r>
      <w:r>
        <w:rPr>
          <w:sz w:val="20"/>
        </w:rPr>
        <w:tab/>
        <w:t xml:space="preserve">Minimum yard and setback requirements shall be as follows:  </w:t>
      </w:r>
    </w:p>
    <w:p w14:paraId="5F309411" w14:textId="77777777" w:rsidR="00736494" w:rsidRDefault="009156A5">
      <w:pPr>
        <w:numPr>
          <w:ilvl w:val="0"/>
          <w:numId w:val="23"/>
        </w:numPr>
        <w:spacing w:after="122" w:line="249" w:lineRule="auto"/>
        <w:ind w:firstLine="475"/>
      </w:pPr>
      <w:r>
        <w:rPr>
          <w:sz w:val="20"/>
        </w:rPr>
        <w:t xml:space="preserve">Front: twenty-five (25) feet;  </w:t>
      </w:r>
    </w:p>
    <w:p w14:paraId="65AD4031" w14:textId="77777777" w:rsidR="00736494" w:rsidRDefault="009156A5">
      <w:pPr>
        <w:numPr>
          <w:ilvl w:val="0"/>
          <w:numId w:val="23"/>
        </w:numPr>
        <w:spacing w:after="122" w:line="249" w:lineRule="auto"/>
        <w:ind w:firstLine="475"/>
      </w:pPr>
      <w:r>
        <w:rPr>
          <w:sz w:val="20"/>
        </w:rPr>
        <w:t xml:space="preserve">Rear: thirty (30) feet;  </w:t>
      </w:r>
    </w:p>
    <w:p w14:paraId="428486D8" w14:textId="77777777" w:rsidR="00736494" w:rsidRDefault="009156A5">
      <w:pPr>
        <w:numPr>
          <w:ilvl w:val="0"/>
          <w:numId w:val="23"/>
        </w:numPr>
        <w:spacing w:after="13" w:line="359" w:lineRule="auto"/>
        <w:ind w:firstLine="475"/>
      </w:pPr>
      <w:r>
        <w:rPr>
          <w:sz w:val="20"/>
        </w:rPr>
        <w:t xml:space="preserve">Side: ten feet each; two required.  C. Height Limitations.  </w:t>
      </w:r>
    </w:p>
    <w:p w14:paraId="7135EDA6" w14:textId="77777777" w:rsidR="00736494" w:rsidRDefault="009156A5">
      <w:pPr>
        <w:numPr>
          <w:ilvl w:val="0"/>
          <w:numId w:val="24"/>
        </w:numPr>
        <w:spacing w:after="122" w:line="249" w:lineRule="auto"/>
        <w:ind w:firstLine="475"/>
      </w:pPr>
      <w:r>
        <w:rPr>
          <w:sz w:val="20"/>
        </w:rPr>
        <w:t xml:space="preserve">The height limitation for principal buildings and structures shall be thirty-five (35) feet.  </w:t>
      </w:r>
    </w:p>
    <w:p w14:paraId="3CEAE9B3" w14:textId="77777777" w:rsidR="00736494" w:rsidRDefault="009156A5">
      <w:pPr>
        <w:numPr>
          <w:ilvl w:val="0"/>
          <w:numId w:val="24"/>
        </w:numPr>
        <w:spacing w:after="0" w:line="372" w:lineRule="auto"/>
        <w:ind w:firstLine="475"/>
      </w:pPr>
      <w:r>
        <w:rPr>
          <w:sz w:val="20"/>
        </w:rPr>
        <w:t xml:space="preserve">The height limitation for accessory buildings and structures shall not exceed twenty (20) feet.  D. </w:t>
      </w:r>
      <w:r>
        <w:rPr>
          <w:sz w:val="20"/>
        </w:rPr>
        <w:tab/>
        <w:t xml:space="preserve">Parking shall be provided in accordance with chapter 17.196.  </w:t>
      </w:r>
    </w:p>
    <w:p w14:paraId="1B143D30" w14:textId="77777777" w:rsidR="00736494" w:rsidRDefault="009156A5">
      <w:pPr>
        <w:numPr>
          <w:ilvl w:val="0"/>
          <w:numId w:val="25"/>
        </w:numPr>
        <w:spacing w:after="122" w:line="249" w:lineRule="auto"/>
        <w:ind w:right="278" w:hanging="475"/>
      </w:pPr>
      <w:r>
        <w:rPr>
          <w:sz w:val="20"/>
        </w:rPr>
        <w:t xml:space="preserve">The parking of vehicles of any type shall not be permitted within the front yard other than driveways providing access from public streets.  </w:t>
      </w:r>
    </w:p>
    <w:p w14:paraId="727C2703" w14:textId="77777777" w:rsidR="00736494" w:rsidRDefault="009156A5">
      <w:pPr>
        <w:numPr>
          <w:ilvl w:val="0"/>
          <w:numId w:val="25"/>
        </w:numPr>
        <w:spacing w:after="0" w:line="372" w:lineRule="auto"/>
        <w:ind w:right="278" w:hanging="475"/>
      </w:pPr>
      <w:r>
        <w:rPr>
          <w:sz w:val="20"/>
        </w:rPr>
        <w:t xml:space="preserve">No outside storage of trucks or vans used in the conduct of business shall be permitted.  E. </w:t>
      </w:r>
      <w:r>
        <w:rPr>
          <w:sz w:val="20"/>
        </w:rPr>
        <w:tab/>
        <w:t xml:space="preserve">No more than one principal use shall be permitted on an individual lot.  </w:t>
      </w:r>
    </w:p>
    <w:p w14:paraId="1FF1905C" w14:textId="77777777" w:rsidR="00736494" w:rsidRDefault="009156A5">
      <w:pPr>
        <w:numPr>
          <w:ilvl w:val="0"/>
          <w:numId w:val="26"/>
        </w:numPr>
        <w:spacing w:after="122" w:line="249" w:lineRule="auto"/>
        <w:ind w:hanging="475"/>
      </w:pPr>
      <w:r>
        <w:rPr>
          <w:sz w:val="20"/>
        </w:rPr>
        <w:t xml:space="preserve">Accessory Buildings and Structures.  </w:t>
      </w:r>
    </w:p>
    <w:p w14:paraId="113BCD0D" w14:textId="77777777" w:rsidR="00736494" w:rsidRDefault="009156A5">
      <w:pPr>
        <w:numPr>
          <w:ilvl w:val="1"/>
          <w:numId w:val="26"/>
        </w:numPr>
        <w:spacing w:after="122" w:line="249" w:lineRule="auto"/>
        <w:ind w:hanging="475"/>
      </w:pPr>
      <w:r>
        <w:rPr>
          <w:sz w:val="20"/>
        </w:rPr>
        <w:t xml:space="preserve">No part of any accessory building or structure shall be located closer than five feet to a rear or side property line. On a corner lot, no accessory building shall be located closer than twenty-five (25) feet to the curbline of an abutting street.  </w:t>
      </w:r>
    </w:p>
    <w:p w14:paraId="3E3624F8" w14:textId="77777777" w:rsidR="00736494" w:rsidRDefault="009156A5">
      <w:pPr>
        <w:numPr>
          <w:ilvl w:val="1"/>
          <w:numId w:val="26"/>
        </w:numPr>
        <w:spacing w:after="122" w:line="249" w:lineRule="auto"/>
        <w:ind w:hanging="475"/>
      </w:pPr>
      <w:r>
        <w:rPr>
          <w:sz w:val="20"/>
        </w:rPr>
        <w:t xml:space="preserve">No accessory building or structure shall occupy more than fifty (50) percent of the required rear yard or side yard area.  </w:t>
      </w:r>
    </w:p>
    <w:p w14:paraId="3E350F3E" w14:textId="77777777" w:rsidR="00736494" w:rsidRDefault="009156A5">
      <w:pPr>
        <w:numPr>
          <w:ilvl w:val="1"/>
          <w:numId w:val="26"/>
        </w:numPr>
        <w:spacing w:after="122" w:line="249" w:lineRule="auto"/>
        <w:ind w:hanging="475"/>
      </w:pPr>
      <w:r>
        <w:rPr>
          <w:sz w:val="20"/>
        </w:rPr>
        <w:t xml:space="preserve">Swimming pools may be constructed in the rear yard or in a side or front yard on a corner lot, no closer than twenty-five (25) feet to any curbline or property line if no curbline exists; provided, that the combined total coverage of a swimming pool and all accessory buildings or structures, including those allowed to project into yards, shall not occupy more than seventy-five (75) percent of the required rear or side yard.  </w:t>
      </w:r>
    </w:p>
    <w:p w14:paraId="14968C80" w14:textId="77777777" w:rsidR="00736494" w:rsidRDefault="009156A5">
      <w:pPr>
        <w:numPr>
          <w:ilvl w:val="0"/>
          <w:numId w:val="26"/>
        </w:numPr>
        <w:spacing w:after="122" w:line="249" w:lineRule="auto"/>
        <w:ind w:hanging="475"/>
      </w:pPr>
      <w:r>
        <w:rPr>
          <w:sz w:val="20"/>
        </w:rPr>
        <w:t xml:space="preserve">Signs. All signs shall be in accordance with the provisions of chapter 17.216 for an R-5 district.  </w:t>
      </w:r>
    </w:p>
    <w:p w14:paraId="6E98CF35" w14:textId="77777777" w:rsidR="00736494" w:rsidRDefault="009156A5">
      <w:pPr>
        <w:numPr>
          <w:ilvl w:val="0"/>
          <w:numId w:val="26"/>
        </w:numPr>
        <w:spacing w:after="122" w:line="249" w:lineRule="auto"/>
        <w:ind w:hanging="475"/>
      </w:pPr>
      <w:r>
        <w:rPr>
          <w:sz w:val="20"/>
        </w:rPr>
        <w:lastRenderedPageBreak/>
        <w:t xml:space="preserve">Landscaping or Screening.  </w:t>
      </w:r>
    </w:p>
    <w:p w14:paraId="775213BF" w14:textId="77777777" w:rsidR="00736494" w:rsidRDefault="009156A5">
      <w:pPr>
        <w:numPr>
          <w:ilvl w:val="1"/>
          <w:numId w:val="26"/>
        </w:numPr>
        <w:spacing w:after="122" w:line="249" w:lineRule="auto"/>
        <w:ind w:hanging="475"/>
      </w:pPr>
      <w:r>
        <w:rPr>
          <w:sz w:val="20"/>
        </w:rPr>
        <w:t xml:space="preserve">Landscaping or screening shall be provided for all uses in accordance with the provisions of chapter 17.220.  </w:t>
      </w:r>
    </w:p>
    <w:p w14:paraId="22CC6B04" w14:textId="77777777" w:rsidR="00736494" w:rsidRDefault="009156A5">
      <w:pPr>
        <w:numPr>
          <w:ilvl w:val="1"/>
          <w:numId w:val="26"/>
        </w:numPr>
        <w:spacing w:after="122" w:line="249" w:lineRule="auto"/>
        <w:ind w:hanging="475"/>
      </w:pPr>
      <w:r>
        <w:rPr>
          <w:sz w:val="20"/>
        </w:rPr>
        <w:t xml:space="preserve">In addition to the requirements of chapter 17.220, all areas not devoted to building or required parking areas shall be landscaped as defined in Section 17.04.120 and maintained in accordance with Section 17.220.080.  I. </w:t>
      </w:r>
      <w:r>
        <w:rPr>
          <w:sz w:val="20"/>
        </w:rPr>
        <w:tab/>
        <w:t xml:space="preserve">Related Requirements.  </w:t>
      </w:r>
    </w:p>
    <w:p w14:paraId="17325032" w14:textId="77777777" w:rsidR="00736494" w:rsidRDefault="009156A5">
      <w:pPr>
        <w:numPr>
          <w:ilvl w:val="1"/>
          <w:numId w:val="27"/>
        </w:numPr>
        <w:spacing w:after="122" w:line="249" w:lineRule="auto"/>
        <w:ind w:hanging="475"/>
      </w:pPr>
      <w:r>
        <w:rPr>
          <w:sz w:val="20"/>
        </w:rPr>
        <w:t xml:space="preserve">The provisions of chapter 17.04, Article IV, where applicable, shall apply to all uses and structures relative to vision at intersections, height exceptions, yard exceptions, fences and walls, airport height limitations and historic or religious monuments, markers or shrines.  </w:t>
      </w:r>
    </w:p>
    <w:p w14:paraId="003B5C8B" w14:textId="77777777" w:rsidR="00736494" w:rsidRDefault="009156A5">
      <w:pPr>
        <w:numPr>
          <w:ilvl w:val="1"/>
          <w:numId w:val="27"/>
        </w:numPr>
        <w:spacing w:after="122" w:line="249" w:lineRule="auto"/>
        <w:ind w:hanging="475"/>
      </w:pPr>
      <w:r>
        <w:rPr>
          <w:sz w:val="20"/>
        </w:rPr>
        <w:t xml:space="preserve">Projections into yards may be allowed in accordance with the provisions of chapter 17.04, Section 17.04.230.  </w:t>
      </w:r>
    </w:p>
    <w:p w14:paraId="0059F3D4" w14:textId="77777777" w:rsidR="00736494" w:rsidRDefault="009156A5">
      <w:pPr>
        <w:spacing w:after="229" w:line="249" w:lineRule="auto"/>
        <w:ind w:left="10" w:hanging="10"/>
      </w:pPr>
      <w:r>
        <w:rPr>
          <w:sz w:val="20"/>
        </w:rPr>
        <w:t xml:space="preserve">(Ord. 1599 § 16 (part), 1995; prior code § 150-20.6) </w:t>
      </w:r>
    </w:p>
    <w:p w14:paraId="15EBA964" w14:textId="77777777" w:rsidR="00736494" w:rsidRDefault="009156A5">
      <w:pPr>
        <w:spacing w:after="0"/>
      </w:pPr>
      <w:r>
        <w:rPr>
          <w:sz w:val="20"/>
        </w:rPr>
        <w:t xml:space="preserve"> </w:t>
      </w:r>
    </w:p>
    <w:p w14:paraId="0CCE2AF9" w14:textId="77777777" w:rsidR="00736494" w:rsidRDefault="00736494">
      <w:pPr>
        <w:sectPr w:rsidR="00736494">
          <w:headerReference w:type="even" r:id="rId17"/>
          <w:headerReference w:type="default" r:id="rId18"/>
          <w:footerReference w:type="even" r:id="rId19"/>
          <w:footerReference w:type="default" r:id="rId20"/>
          <w:headerReference w:type="first" r:id="rId21"/>
          <w:footerReference w:type="first" r:id="rId22"/>
          <w:pgSz w:w="12240" w:h="15840"/>
          <w:pgMar w:top="801" w:right="1465" w:bottom="1497" w:left="1441" w:header="720" w:footer="757" w:gutter="0"/>
          <w:pgNumType w:start="1"/>
          <w:cols w:space="720"/>
          <w:titlePg/>
        </w:sectPr>
      </w:pPr>
    </w:p>
    <w:p w14:paraId="5C53557F" w14:textId="77777777" w:rsidR="00736494" w:rsidRDefault="009156A5">
      <w:pPr>
        <w:spacing w:after="0"/>
        <w:ind w:left="110"/>
        <w:jc w:val="center"/>
      </w:pPr>
      <w:r>
        <w:rPr>
          <w:b/>
          <w:color w:val="2C2C2C"/>
          <w:sz w:val="40"/>
        </w:rPr>
        <w:lastRenderedPageBreak/>
        <w:t xml:space="preserve"> </w:t>
      </w:r>
    </w:p>
    <w:p w14:paraId="0403E0A2" w14:textId="77777777" w:rsidR="00736494" w:rsidRDefault="009156A5">
      <w:pPr>
        <w:spacing w:after="0"/>
        <w:ind w:left="110"/>
        <w:jc w:val="center"/>
      </w:pPr>
      <w:r>
        <w:rPr>
          <w:b/>
          <w:color w:val="2C2C2C"/>
          <w:sz w:val="40"/>
        </w:rPr>
        <w:t xml:space="preserve"> </w:t>
      </w:r>
    </w:p>
    <w:p w14:paraId="23CD5755" w14:textId="77777777" w:rsidR="00736494" w:rsidRDefault="009156A5">
      <w:pPr>
        <w:pStyle w:val="Heading2"/>
        <w:spacing w:after="0"/>
        <w:ind w:left="10" w:firstLine="0"/>
        <w:jc w:val="center"/>
      </w:pPr>
      <w:r>
        <w:rPr>
          <w:rFonts w:ascii="Calibri" w:eastAsia="Calibri" w:hAnsi="Calibri" w:cs="Calibri"/>
          <w:color w:val="BF8F00"/>
          <w:sz w:val="40"/>
          <w:u w:val="none"/>
        </w:rPr>
        <w:t xml:space="preserve">ACCESSORY DWELLING UNITS </w:t>
      </w:r>
    </w:p>
    <w:p w14:paraId="179C1F5D" w14:textId="77777777" w:rsidR="00736494" w:rsidRDefault="009156A5">
      <w:pPr>
        <w:spacing w:after="0"/>
        <w:ind w:left="110"/>
        <w:jc w:val="center"/>
      </w:pPr>
      <w:r>
        <w:rPr>
          <w:b/>
          <w:color w:val="BF8F00"/>
          <w:sz w:val="40"/>
        </w:rPr>
        <w:t xml:space="preserve"> </w:t>
      </w:r>
    </w:p>
    <w:p w14:paraId="5B6BF133" w14:textId="77777777" w:rsidR="00736494" w:rsidRDefault="009156A5">
      <w:pPr>
        <w:spacing w:after="0" w:line="244" w:lineRule="auto"/>
        <w:ind w:left="916" w:right="715"/>
        <w:jc w:val="center"/>
      </w:pPr>
      <w:r>
        <w:rPr>
          <w:rFonts w:ascii="Calisto MT" w:eastAsia="Calisto MT" w:hAnsi="Calisto MT" w:cs="Calisto MT"/>
          <w:b/>
          <w:i/>
          <w:color w:val="BF8F00"/>
          <w:sz w:val="40"/>
        </w:rPr>
        <w:t xml:space="preserve">A Guide for Local Implementation of  Maryland 2025 HB 1466, SB 891 </w:t>
      </w:r>
    </w:p>
    <w:p w14:paraId="57111721" w14:textId="77777777" w:rsidR="00736494" w:rsidRDefault="009156A5">
      <w:pPr>
        <w:spacing w:after="541"/>
        <w:ind w:left="50"/>
        <w:jc w:val="center"/>
      </w:pPr>
      <w:r>
        <w:rPr>
          <w:rFonts w:ascii="Corbel" w:eastAsia="Corbel" w:hAnsi="Corbel" w:cs="Corbel"/>
          <w:i/>
          <w:color w:val="2C2C2C"/>
          <w:sz w:val="21"/>
        </w:rPr>
        <w:t xml:space="preserve"> </w:t>
      </w:r>
    </w:p>
    <w:p w14:paraId="45B13284" w14:textId="77777777" w:rsidR="00736494" w:rsidRDefault="009156A5">
      <w:pPr>
        <w:spacing w:after="309"/>
      </w:pPr>
      <w:r>
        <w:rPr>
          <w:rFonts w:ascii="Calisto MT" w:eastAsia="Calisto MT" w:hAnsi="Calisto MT" w:cs="Calisto MT"/>
          <w:color w:val="2C2C2C"/>
          <w:sz w:val="36"/>
        </w:rPr>
        <w:t xml:space="preserve"> </w:t>
      </w:r>
    </w:p>
    <w:p w14:paraId="39EBD083" w14:textId="77777777" w:rsidR="00736494" w:rsidRDefault="009156A5">
      <w:pPr>
        <w:spacing w:after="0"/>
      </w:pPr>
      <w:r>
        <w:rPr>
          <w:rFonts w:ascii="Calisto MT" w:eastAsia="Calisto MT" w:hAnsi="Calisto MT" w:cs="Calisto MT"/>
          <w:color w:val="2C2C2C"/>
          <w:sz w:val="30"/>
        </w:rPr>
        <w:t xml:space="preserve">Table of Contents: </w:t>
      </w:r>
    </w:p>
    <w:p w14:paraId="26AB1446" w14:textId="77777777" w:rsidR="00736494" w:rsidRDefault="009156A5">
      <w:pPr>
        <w:spacing w:after="103"/>
        <w:ind w:left="-29" w:right="-36"/>
      </w:pPr>
      <w:r>
        <w:rPr>
          <w:noProof/>
        </w:rPr>
        <mc:AlternateContent>
          <mc:Choice Requires="wpg">
            <w:drawing>
              <wp:inline distT="0" distB="0" distL="0" distR="0" wp14:anchorId="682D5DA2" wp14:editId="2F6DF4EE">
                <wp:extent cx="5981065" cy="6096"/>
                <wp:effectExtent l="0" t="0" r="0" b="0"/>
                <wp:docPr id="30982" name="Group 30982"/>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7734" name="Shape 37734"/>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inline>
            </w:drawing>
          </mc:Choice>
          <mc:Fallback xmlns:a="http://schemas.openxmlformats.org/drawingml/2006/main">
            <w:pict>
              <v:group id="Group 30982" style="width:470.95pt;height:0.480011pt;mso-position-horizontal-relative:char;mso-position-vertical-relative:line" coordsize="59810,60">
                <v:shape id="Shape 37735" style="position:absolute;width:59810;height:91;left:0;top:0;" coordsize="5981065,9144" path="m0,0l5981065,0l5981065,9144l0,9144l0,0">
                  <v:stroke weight="0pt" endcap="flat" joinstyle="miter" miterlimit="10" on="false" color="#000000" opacity="0"/>
                  <v:fill on="true" color="#ffc000"/>
                </v:shape>
              </v:group>
            </w:pict>
          </mc:Fallback>
        </mc:AlternateContent>
      </w:r>
    </w:p>
    <w:p w14:paraId="0C357D60" w14:textId="77777777" w:rsidR="00736494" w:rsidRDefault="009156A5">
      <w:pPr>
        <w:spacing w:after="127"/>
      </w:pPr>
      <w:r>
        <w:rPr>
          <w:rFonts w:ascii="Calisto MT" w:eastAsia="Calisto MT" w:hAnsi="Calisto MT" w:cs="Calisto MT"/>
          <w:color w:val="2C2C2C"/>
          <w:sz w:val="30"/>
        </w:rPr>
        <w:t xml:space="preserve"> </w:t>
      </w:r>
    </w:p>
    <w:sdt>
      <w:sdtPr>
        <w:rPr>
          <w:rFonts w:ascii="Calibri" w:eastAsia="Calibri" w:hAnsi="Calibri" w:cs="Calibri"/>
          <w:sz w:val="22"/>
        </w:rPr>
        <w:id w:val="-1491321453"/>
        <w:docPartObj>
          <w:docPartGallery w:val="Table of Contents"/>
        </w:docPartObj>
      </w:sdtPr>
      <w:sdtContent>
        <w:p w14:paraId="7B178B56" w14:textId="77777777" w:rsidR="00736494" w:rsidRDefault="009156A5">
          <w:pPr>
            <w:pStyle w:val="TOC1"/>
            <w:tabs>
              <w:tab w:val="right" w:leader="dot" w:pos="9354"/>
            </w:tabs>
          </w:pPr>
          <w:r>
            <w:fldChar w:fldCharType="begin"/>
          </w:r>
          <w:r>
            <w:instrText xml:space="preserve"> TOC \o "1-1" \h \z \u </w:instrText>
          </w:r>
          <w:r>
            <w:fldChar w:fldCharType="separate"/>
          </w:r>
          <w:hyperlink w:anchor="_Toc37490">
            <w:r>
              <w:t>Summary of Maryland Accessory Dwelling Legislation</w:t>
            </w:r>
            <w:r>
              <w:tab/>
            </w:r>
            <w:r>
              <w:fldChar w:fldCharType="begin"/>
            </w:r>
            <w:r>
              <w:instrText>PAGEREF _Toc37490 \h</w:instrText>
            </w:r>
            <w:r>
              <w:fldChar w:fldCharType="separate"/>
            </w:r>
            <w:r>
              <w:t xml:space="preserve">2 </w:t>
            </w:r>
            <w:r>
              <w:fldChar w:fldCharType="end"/>
            </w:r>
          </w:hyperlink>
        </w:p>
        <w:p w14:paraId="51495CAD" w14:textId="77777777" w:rsidR="00736494" w:rsidRDefault="009156A5">
          <w:pPr>
            <w:pStyle w:val="TOC1"/>
            <w:tabs>
              <w:tab w:val="right" w:leader="dot" w:pos="9354"/>
            </w:tabs>
          </w:pPr>
          <w:hyperlink w:anchor="_Toc37491">
            <w:r>
              <w:t>Recommended Model ADU Ordinance</w:t>
            </w:r>
            <w:r>
              <w:tab/>
            </w:r>
            <w:r>
              <w:fldChar w:fldCharType="begin"/>
            </w:r>
            <w:r>
              <w:instrText>PAGEREF _Toc37491 \h</w:instrText>
            </w:r>
            <w:r>
              <w:fldChar w:fldCharType="separate"/>
            </w:r>
            <w:r>
              <w:t xml:space="preserve">4 </w:t>
            </w:r>
            <w:r>
              <w:fldChar w:fldCharType="end"/>
            </w:r>
          </w:hyperlink>
        </w:p>
        <w:p w14:paraId="06752B33" w14:textId="77777777" w:rsidR="00736494" w:rsidRDefault="009156A5">
          <w:pPr>
            <w:pStyle w:val="TOC1"/>
            <w:tabs>
              <w:tab w:val="right" w:leader="dot" w:pos="9354"/>
            </w:tabs>
          </w:pPr>
          <w:hyperlink w:anchor="_Toc37492">
            <w:r>
              <w:t>ADU Ordinance - Required Provisions</w:t>
            </w:r>
            <w:r>
              <w:tab/>
            </w:r>
            <w:r>
              <w:fldChar w:fldCharType="begin"/>
            </w:r>
            <w:r>
              <w:instrText>PAGEREF _Toc37492 \h</w:instrText>
            </w:r>
            <w:r>
              <w:fldChar w:fldCharType="separate"/>
            </w:r>
            <w:r>
              <w:t xml:space="preserve">7 </w:t>
            </w:r>
            <w:r>
              <w:fldChar w:fldCharType="end"/>
            </w:r>
          </w:hyperlink>
        </w:p>
        <w:p w14:paraId="5806E88A" w14:textId="77777777" w:rsidR="00736494" w:rsidRDefault="009156A5">
          <w:pPr>
            <w:pStyle w:val="TOC1"/>
            <w:tabs>
              <w:tab w:val="right" w:leader="dot" w:pos="9354"/>
            </w:tabs>
          </w:pPr>
          <w:hyperlink w:anchor="_Toc37493">
            <w:r>
              <w:t>ADU Ordinance - Optional Provisions</w:t>
            </w:r>
            <w:r>
              <w:tab/>
            </w:r>
            <w:r>
              <w:fldChar w:fldCharType="begin"/>
            </w:r>
            <w:r>
              <w:instrText>PAGEREF _Toc37493 \h</w:instrText>
            </w:r>
            <w:r>
              <w:fldChar w:fldCharType="separate"/>
            </w:r>
            <w:r>
              <w:t xml:space="preserve">8 </w:t>
            </w:r>
            <w:r>
              <w:fldChar w:fldCharType="end"/>
            </w:r>
          </w:hyperlink>
        </w:p>
        <w:p w14:paraId="1C13EBFF" w14:textId="77777777" w:rsidR="00736494" w:rsidRDefault="009156A5">
          <w:pPr>
            <w:pStyle w:val="TOC1"/>
            <w:tabs>
              <w:tab w:val="right" w:leader="dot" w:pos="9354"/>
            </w:tabs>
          </w:pPr>
          <w:hyperlink w:anchor="_Toc37494">
            <w:r>
              <w:t xml:space="preserve">Examples of Existing ADU Ordinances in Maryland ........................... 12 </w:t>
            </w:r>
            <w:r>
              <w:tab/>
            </w:r>
            <w:r>
              <w:fldChar w:fldCharType="begin"/>
            </w:r>
            <w:r>
              <w:instrText>PAGEREF _Toc37494 \h</w:instrText>
            </w:r>
            <w:r>
              <w:fldChar w:fldCharType="separate"/>
            </w:r>
            <w:r>
              <w:fldChar w:fldCharType="end"/>
            </w:r>
          </w:hyperlink>
        </w:p>
        <w:p w14:paraId="435164C3" w14:textId="77777777" w:rsidR="00736494" w:rsidRDefault="009156A5">
          <w:pPr>
            <w:pStyle w:val="TOC1"/>
            <w:tabs>
              <w:tab w:val="right" w:leader="dot" w:pos="9354"/>
            </w:tabs>
          </w:pPr>
          <w:hyperlink w:anchor="_Toc37495">
            <w:r>
              <w:t>ADU Ordinance – Other Resources</w:t>
            </w:r>
            <w:r>
              <w:tab/>
            </w:r>
            <w:r>
              <w:fldChar w:fldCharType="begin"/>
            </w:r>
            <w:r>
              <w:instrText>PAGEREF _Toc37495 \h</w:instrText>
            </w:r>
            <w:r>
              <w:fldChar w:fldCharType="separate"/>
            </w:r>
            <w:r>
              <w:t xml:space="preserve">15 </w:t>
            </w:r>
            <w:r>
              <w:fldChar w:fldCharType="end"/>
            </w:r>
          </w:hyperlink>
        </w:p>
        <w:p w14:paraId="24935F7D" w14:textId="77777777" w:rsidR="00736494" w:rsidRDefault="009156A5">
          <w:r>
            <w:fldChar w:fldCharType="end"/>
          </w:r>
        </w:p>
      </w:sdtContent>
    </w:sdt>
    <w:p w14:paraId="44C2FF4C" w14:textId="77777777" w:rsidR="00736494" w:rsidRDefault="009156A5">
      <w:pPr>
        <w:spacing w:after="194"/>
      </w:pPr>
      <w:r>
        <w:rPr>
          <w:rFonts w:ascii="Corbel" w:eastAsia="Corbel" w:hAnsi="Corbel" w:cs="Corbel"/>
          <w:sz w:val="21"/>
        </w:rPr>
        <w:t xml:space="preserve"> </w:t>
      </w:r>
    </w:p>
    <w:p w14:paraId="07C8EBFE" w14:textId="77777777" w:rsidR="00736494" w:rsidRDefault="009156A5">
      <w:pPr>
        <w:spacing w:after="114"/>
        <w:ind w:left="63"/>
        <w:jc w:val="center"/>
      </w:pPr>
      <w:r>
        <w:rPr>
          <w:rFonts w:ascii="Corbel" w:eastAsia="Corbel" w:hAnsi="Corbel" w:cs="Corbel"/>
          <w:color w:val="0000FF"/>
          <w:sz w:val="28"/>
        </w:rPr>
        <w:t xml:space="preserve"> </w:t>
      </w:r>
    </w:p>
    <w:p w14:paraId="42121988" w14:textId="77777777" w:rsidR="00736494" w:rsidRDefault="009156A5">
      <w:pPr>
        <w:spacing w:after="0"/>
        <w:ind w:left="6"/>
        <w:jc w:val="center"/>
      </w:pPr>
      <w:r>
        <w:rPr>
          <w:rFonts w:ascii="Corbel" w:eastAsia="Corbel" w:hAnsi="Corbel" w:cs="Corbel"/>
          <w:i/>
          <w:color w:val="2C2C2C"/>
          <w:sz w:val="24"/>
        </w:rPr>
        <w:t>Sponsored</w:t>
      </w:r>
      <w:r>
        <w:rPr>
          <w:rFonts w:ascii="Corbel" w:eastAsia="Corbel" w:hAnsi="Corbel" w:cs="Corbel"/>
          <w:color w:val="2C2C2C"/>
          <w:sz w:val="28"/>
        </w:rPr>
        <w:t xml:space="preserve"> </w:t>
      </w:r>
      <w:r>
        <w:rPr>
          <w:rFonts w:ascii="Corbel" w:eastAsia="Corbel" w:hAnsi="Corbel" w:cs="Corbel"/>
          <w:i/>
          <w:color w:val="2C2C2C"/>
          <w:sz w:val="24"/>
        </w:rPr>
        <w:t>by:</w:t>
      </w:r>
      <w:r>
        <w:rPr>
          <w:rFonts w:ascii="Corbel" w:eastAsia="Corbel" w:hAnsi="Corbel" w:cs="Corbel"/>
          <w:color w:val="0000FF"/>
          <w:sz w:val="28"/>
        </w:rPr>
        <w:t xml:space="preserve"> </w:t>
      </w:r>
    </w:p>
    <w:p w14:paraId="4B6A6154" w14:textId="77777777" w:rsidR="00736494" w:rsidRDefault="009156A5">
      <w:pPr>
        <w:spacing w:after="1851"/>
        <w:ind w:left="3134"/>
      </w:pPr>
      <w:r>
        <w:rPr>
          <w:noProof/>
        </w:rPr>
        <w:drawing>
          <wp:inline distT="0" distB="0" distL="0" distR="0" wp14:anchorId="285A2993" wp14:editId="25F9C173">
            <wp:extent cx="2072640" cy="1082675"/>
            <wp:effectExtent l="0" t="0" r="0" b="0"/>
            <wp:docPr id="1425" name="Picture 1425"/>
            <wp:cNvGraphicFramePr/>
            <a:graphic xmlns:a="http://schemas.openxmlformats.org/drawingml/2006/main">
              <a:graphicData uri="http://schemas.openxmlformats.org/drawingml/2006/picture">
                <pic:pic xmlns:pic="http://schemas.openxmlformats.org/drawingml/2006/picture">
                  <pic:nvPicPr>
                    <pic:cNvPr id="1425" name="Picture 1425"/>
                    <pic:cNvPicPr/>
                  </pic:nvPicPr>
                  <pic:blipFill>
                    <a:blip r:embed="rId23"/>
                    <a:stretch>
                      <a:fillRect/>
                    </a:stretch>
                  </pic:blipFill>
                  <pic:spPr>
                    <a:xfrm>
                      <a:off x="0" y="0"/>
                      <a:ext cx="2072640" cy="1082675"/>
                    </a:xfrm>
                    <a:prstGeom prst="rect">
                      <a:avLst/>
                    </a:prstGeom>
                  </pic:spPr>
                </pic:pic>
              </a:graphicData>
            </a:graphic>
          </wp:inline>
        </w:drawing>
      </w:r>
    </w:p>
    <w:p w14:paraId="4B24B512" w14:textId="77777777" w:rsidR="00736494" w:rsidRDefault="009156A5">
      <w:pPr>
        <w:spacing w:after="0"/>
        <w:ind w:left="50"/>
        <w:jc w:val="center"/>
      </w:pPr>
      <w:r>
        <w:rPr>
          <w:rFonts w:ascii="Corbel" w:eastAsia="Corbel" w:hAnsi="Corbel" w:cs="Corbel"/>
          <w:sz w:val="21"/>
        </w:rPr>
        <w:lastRenderedPageBreak/>
        <w:t xml:space="preserve"> </w:t>
      </w:r>
    </w:p>
    <w:p w14:paraId="5A436069" w14:textId="77777777" w:rsidR="00736494" w:rsidRDefault="009156A5">
      <w:pPr>
        <w:pStyle w:val="Heading1"/>
        <w:ind w:left="-5"/>
      </w:pPr>
      <w:bookmarkStart w:id="0" w:name="_Toc37490"/>
      <w:r>
        <w:t xml:space="preserve">Summary of Maryland Accessory Dwelling Legislation </w:t>
      </w:r>
      <w:bookmarkEnd w:id="0"/>
    </w:p>
    <w:p w14:paraId="65D6730F" w14:textId="77777777" w:rsidR="00736494" w:rsidRDefault="009156A5">
      <w:pPr>
        <w:spacing w:after="98"/>
        <w:ind w:left="-29" w:right="-36"/>
      </w:pPr>
      <w:r>
        <w:rPr>
          <w:noProof/>
        </w:rPr>
        <mc:AlternateContent>
          <mc:Choice Requires="wpg">
            <w:drawing>
              <wp:inline distT="0" distB="0" distL="0" distR="0" wp14:anchorId="797F1278" wp14:editId="1AF4808E">
                <wp:extent cx="5981065" cy="6096"/>
                <wp:effectExtent l="0" t="0" r="0" b="0"/>
                <wp:docPr id="34443" name="Group 34443"/>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7821" name="Shape 3782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inline>
            </w:drawing>
          </mc:Choice>
          <mc:Fallback xmlns:a="http://schemas.openxmlformats.org/drawingml/2006/main">
            <w:pict>
              <v:group id="Group 34443" style="width:470.95pt;height:0.47998pt;mso-position-horizontal-relative:char;mso-position-vertical-relative:line" coordsize="59810,60">
                <v:shape id="Shape 37822" style="position:absolute;width:59810;height:91;left:0;top:0;" coordsize="5981065,9144" path="m0,0l5981065,0l5981065,9144l0,9144l0,0">
                  <v:stroke weight="0pt" endcap="flat" joinstyle="miter" miterlimit="10" on="false" color="#000000" opacity="0"/>
                  <v:fill on="true" color="#ffc000"/>
                </v:shape>
              </v:group>
            </w:pict>
          </mc:Fallback>
        </mc:AlternateContent>
      </w:r>
    </w:p>
    <w:p w14:paraId="6F08FB43" w14:textId="77777777" w:rsidR="00736494" w:rsidRDefault="009156A5">
      <w:pPr>
        <w:spacing w:after="236"/>
      </w:pPr>
      <w:r>
        <w:rPr>
          <w:b/>
          <w:sz w:val="24"/>
        </w:rPr>
        <w:t xml:space="preserve"> </w:t>
      </w:r>
    </w:p>
    <w:p w14:paraId="469C19FF" w14:textId="77777777" w:rsidR="00736494" w:rsidRDefault="009156A5">
      <w:pPr>
        <w:spacing w:after="247" w:line="263" w:lineRule="auto"/>
        <w:ind w:left="-5" w:hanging="10"/>
      </w:pPr>
      <w:r>
        <w:rPr>
          <w:b/>
          <w:color w:val="7B9B1E"/>
          <w:sz w:val="24"/>
        </w:rPr>
        <w:t>PURPOSE</w:t>
      </w:r>
      <w:r>
        <w:rPr>
          <w:rFonts w:ascii="Calisto MT" w:eastAsia="Calisto MT" w:hAnsi="Calisto MT" w:cs="Calisto MT"/>
          <w:color w:val="7B9B1E"/>
          <w:sz w:val="24"/>
        </w:rPr>
        <w:t xml:space="preserve">:  </w:t>
      </w:r>
      <w:r>
        <w:rPr>
          <w:rFonts w:ascii="Calisto MT" w:eastAsia="Calisto MT" w:hAnsi="Calisto MT" w:cs="Calisto MT"/>
          <w:sz w:val="24"/>
        </w:rPr>
        <w:t xml:space="preserve">The 2025 legislation seeks to address Maryland’s estimated 96,000 housing unit shortage and housing affordability crisis by requiring local jurisdictions to adopt local laws allowing accessory dwellings.  (Ref:  Maryland </w:t>
      </w:r>
      <w:r>
        <w:rPr>
          <w:rFonts w:ascii="Calisto MT" w:eastAsia="Calisto MT" w:hAnsi="Calisto MT" w:cs="Calisto MT"/>
          <w:color w:val="2C2C2C"/>
          <w:sz w:val="24"/>
        </w:rPr>
        <w:t>House Bill 1466/Senate Bill 891, Effective October 1, 2025.)</w:t>
      </w:r>
      <w:r>
        <w:rPr>
          <w:rFonts w:ascii="Calisto MT" w:eastAsia="Calisto MT" w:hAnsi="Calisto MT" w:cs="Calisto MT"/>
          <w:sz w:val="24"/>
        </w:rPr>
        <w:t xml:space="preserve"> </w:t>
      </w:r>
    </w:p>
    <w:p w14:paraId="6D9E31C3" w14:textId="77777777" w:rsidR="00736494" w:rsidRDefault="009156A5">
      <w:pPr>
        <w:spacing w:after="240" w:line="263" w:lineRule="auto"/>
        <w:ind w:left="-5" w:hanging="10"/>
      </w:pPr>
      <w:r>
        <w:rPr>
          <w:b/>
          <w:color w:val="7B9B1E"/>
          <w:sz w:val="24"/>
        </w:rPr>
        <w:t>ADOPTION DATE:</w:t>
      </w:r>
      <w:r>
        <w:rPr>
          <w:rFonts w:ascii="Calisto MT" w:eastAsia="Calisto MT" w:hAnsi="Calisto MT" w:cs="Calisto MT"/>
          <w:color w:val="7B9B1E"/>
          <w:sz w:val="24"/>
        </w:rPr>
        <w:t xml:space="preserve">  </w:t>
      </w:r>
      <w:r>
        <w:rPr>
          <w:rFonts w:ascii="Calisto MT" w:eastAsia="Calisto MT" w:hAnsi="Calisto MT" w:cs="Calisto MT"/>
          <w:sz w:val="24"/>
        </w:rPr>
        <w:t xml:space="preserve">Each legislative body of a local jurisdiction (county or municipality) must adopt – by October 1, 2026 – a local law authorizing the development of accessory dwellings (“ADU’s”) in accordance with the bill. </w:t>
      </w:r>
    </w:p>
    <w:p w14:paraId="68E7F5C8" w14:textId="77777777" w:rsidR="00736494" w:rsidRDefault="009156A5">
      <w:pPr>
        <w:spacing w:after="279" w:line="263" w:lineRule="auto"/>
        <w:ind w:left="-5" w:hanging="10"/>
      </w:pPr>
      <w:r>
        <w:rPr>
          <w:rFonts w:ascii="Calisto MT" w:eastAsia="Calisto MT" w:hAnsi="Calisto MT" w:cs="Calisto MT"/>
          <w:sz w:val="24"/>
        </w:rPr>
        <w:t xml:space="preserve">The bill defines an ADU as:  </w:t>
      </w:r>
    </w:p>
    <w:p w14:paraId="25CCE1E2" w14:textId="77777777" w:rsidR="00736494" w:rsidRDefault="009156A5">
      <w:pPr>
        <w:spacing w:after="126" w:line="269" w:lineRule="auto"/>
        <w:ind w:left="720"/>
      </w:pPr>
      <w:r>
        <w:rPr>
          <w:rFonts w:ascii="Calisto MT" w:eastAsia="Calisto MT" w:hAnsi="Calisto MT" w:cs="Calisto MT"/>
          <w:b/>
          <w:i/>
          <w:color w:val="C04908"/>
          <w:sz w:val="28"/>
        </w:rPr>
        <w:t xml:space="preserve">“A secondary dwelling unit that is: </w:t>
      </w:r>
    </w:p>
    <w:p w14:paraId="400267FA" w14:textId="77777777" w:rsidR="00736494" w:rsidRDefault="009156A5">
      <w:pPr>
        <w:numPr>
          <w:ilvl w:val="0"/>
          <w:numId w:val="28"/>
        </w:numPr>
        <w:spacing w:after="11" w:line="269" w:lineRule="auto"/>
        <w:ind w:hanging="360"/>
      </w:pPr>
      <w:r>
        <w:rPr>
          <w:rFonts w:ascii="Calisto MT" w:eastAsia="Calisto MT" w:hAnsi="Calisto MT" w:cs="Calisto MT"/>
          <w:b/>
          <w:i/>
          <w:color w:val="C04908"/>
          <w:sz w:val="28"/>
        </w:rPr>
        <w:t xml:space="preserve">on the same lot, parcel, or tract as a primary single-family detached dwelling unit and  </w:t>
      </w:r>
    </w:p>
    <w:p w14:paraId="375BC999" w14:textId="77777777" w:rsidR="00736494" w:rsidRDefault="009156A5">
      <w:pPr>
        <w:numPr>
          <w:ilvl w:val="0"/>
          <w:numId w:val="28"/>
        </w:numPr>
        <w:spacing w:after="11" w:line="269" w:lineRule="auto"/>
        <w:ind w:hanging="360"/>
      </w:pPr>
      <w:r>
        <w:rPr>
          <w:rFonts w:ascii="Calisto MT" w:eastAsia="Calisto MT" w:hAnsi="Calisto MT" w:cs="Calisto MT"/>
          <w:b/>
          <w:i/>
          <w:color w:val="C04908"/>
          <w:sz w:val="28"/>
        </w:rPr>
        <w:t xml:space="preserve">not greater than 75% of the size of and subordinate in use to the primary single-family detached dwelling unit.” </w:t>
      </w:r>
    </w:p>
    <w:p w14:paraId="5751BC03" w14:textId="77777777" w:rsidR="00736494" w:rsidRDefault="009156A5">
      <w:pPr>
        <w:spacing w:after="352"/>
      </w:pPr>
      <w:r>
        <w:rPr>
          <w:rFonts w:ascii="Calisto MT" w:eastAsia="Calisto MT" w:hAnsi="Calisto MT" w:cs="Calisto MT"/>
          <w:sz w:val="12"/>
        </w:rPr>
        <w:t xml:space="preserve"> </w:t>
      </w:r>
    </w:p>
    <w:p w14:paraId="75A6993A" w14:textId="77777777" w:rsidR="00736494" w:rsidRDefault="009156A5">
      <w:pPr>
        <w:spacing w:after="0" w:line="263" w:lineRule="auto"/>
        <w:ind w:left="-5" w:hanging="10"/>
      </w:pPr>
      <w:r>
        <w:rPr>
          <w:rFonts w:ascii="Calisto MT" w:eastAsia="Calisto MT" w:hAnsi="Calisto MT" w:cs="Calisto MT"/>
          <w:sz w:val="24"/>
        </w:rPr>
        <w:t xml:space="preserve">An ADU includes a structure that is within, separate from, or attached as an addition to, the primary detached dwelling structure.  </w:t>
      </w:r>
    </w:p>
    <w:p w14:paraId="1351339E" w14:textId="77777777" w:rsidR="00736494" w:rsidRDefault="009156A5">
      <w:pPr>
        <w:spacing w:after="0"/>
        <w:ind w:left="684"/>
      </w:pPr>
      <w:r>
        <w:rPr>
          <w:noProof/>
        </w:rPr>
        <w:lastRenderedPageBreak/>
        <mc:AlternateContent>
          <mc:Choice Requires="wpg">
            <w:drawing>
              <wp:inline distT="0" distB="0" distL="0" distR="0" wp14:anchorId="30F47DE9" wp14:editId="2E8F2192">
                <wp:extent cx="5120640" cy="2605989"/>
                <wp:effectExtent l="0" t="0" r="0" b="0"/>
                <wp:docPr id="34444" name="Group 34444"/>
                <wp:cNvGraphicFramePr/>
                <a:graphic xmlns:a="http://schemas.openxmlformats.org/drawingml/2006/main">
                  <a:graphicData uri="http://schemas.microsoft.com/office/word/2010/wordprocessingGroup">
                    <wpg:wgp>
                      <wpg:cNvGrpSpPr/>
                      <wpg:grpSpPr>
                        <a:xfrm>
                          <a:off x="0" y="0"/>
                          <a:ext cx="5120640" cy="2605989"/>
                          <a:chOff x="0" y="0"/>
                          <a:chExt cx="5120640" cy="2605989"/>
                        </a:xfrm>
                      </wpg:grpSpPr>
                      <wps:wsp>
                        <wps:cNvPr id="1540" name="Rectangle 1540"/>
                        <wps:cNvSpPr/>
                        <wps:spPr>
                          <a:xfrm>
                            <a:off x="1395095" y="386298"/>
                            <a:ext cx="51686" cy="190420"/>
                          </a:xfrm>
                          <a:prstGeom prst="rect">
                            <a:avLst/>
                          </a:prstGeom>
                          <a:ln>
                            <a:noFill/>
                          </a:ln>
                        </wps:spPr>
                        <wps:txbx>
                          <w:txbxContent>
                            <w:p w14:paraId="6CC65792" w14:textId="77777777" w:rsidR="00736494" w:rsidRDefault="009156A5">
                              <w:r>
                                <w:rPr>
                                  <w:b/>
                                  <w:color w:val="7B9B1E"/>
                                  <w:sz w:val="24"/>
                                </w:rPr>
                                <w:t xml:space="preserve"> </w:t>
                              </w:r>
                            </w:p>
                          </w:txbxContent>
                        </wps:txbx>
                        <wps:bodyPr horzOverflow="overflow" vert="horz" lIns="0" tIns="0" rIns="0" bIns="0" rtlCol="0">
                          <a:noAutofit/>
                        </wps:bodyPr>
                      </wps:wsp>
                      <pic:pic xmlns:pic="http://schemas.openxmlformats.org/drawingml/2006/picture">
                        <pic:nvPicPr>
                          <pic:cNvPr id="1542" name="Picture 1542"/>
                          <pic:cNvPicPr/>
                        </pic:nvPicPr>
                        <pic:blipFill>
                          <a:blip r:embed="rId24"/>
                          <a:stretch>
                            <a:fillRect/>
                          </a:stretch>
                        </pic:blipFill>
                        <pic:spPr>
                          <a:xfrm>
                            <a:off x="0" y="0"/>
                            <a:ext cx="5118608" cy="1187399"/>
                          </a:xfrm>
                          <a:prstGeom prst="rect">
                            <a:avLst/>
                          </a:prstGeom>
                        </pic:spPr>
                      </pic:pic>
                      <pic:pic xmlns:pic="http://schemas.openxmlformats.org/drawingml/2006/picture">
                        <pic:nvPicPr>
                          <pic:cNvPr id="1544" name="Picture 1544"/>
                          <pic:cNvPicPr/>
                        </pic:nvPicPr>
                        <pic:blipFill>
                          <a:blip r:embed="rId25"/>
                          <a:stretch>
                            <a:fillRect/>
                          </a:stretch>
                        </pic:blipFill>
                        <pic:spPr>
                          <a:xfrm>
                            <a:off x="0" y="1184731"/>
                            <a:ext cx="5120640" cy="1421257"/>
                          </a:xfrm>
                          <a:prstGeom prst="rect">
                            <a:avLst/>
                          </a:prstGeom>
                        </pic:spPr>
                      </pic:pic>
                    </wpg:wgp>
                  </a:graphicData>
                </a:graphic>
              </wp:inline>
            </w:drawing>
          </mc:Choice>
          <mc:Fallback xmlns:a="http://schemas.openxmlformats.org/drawingml/2006/main">
            <w:pict>
              <v:group id="Group 34444" style="width:403.2pt;height:205.196pt;mso-position-horizontal-relative:char;mso-position-vertical-relative:line" coordsize="51206,26059">
                <v:rect id="Rectangle 1540" style="position:absolute;width:516;height:1904;left:13950;top:3862;" filled="f" stroked="f">
                  <v:textbox inset="0,0,0,0">
                    <w:txbxContent>
                      <w:p>
                        <w:pPr>
                          <w:spacing w:before="0" w:after="160" w:line="259" w:lineRule="auto"/>
                        </w:pPr>
                        <w:r>
                          <w:rPr>
                            <w:rFonts w:cs="Calibri" w:hAnsi="Calibri" w:eastAsia="Calibri" w:ascii="Calibri"/>
                            <w:b w:val="1"/>
                            <w:color w:val="7b9b1e"/>
                            <w:sz w:val="24"/>
                          </w:rPr>
                          <w:t xml:space="preserve"> </w:t>
                        </w:r>
                      </w:p>
                    </w:txbxContent>
                  </v:textbox>
                </v:rect>
                <v:shape id="Picture 1542" style="position:absolute;width:51186;height:11873;left:0;top:0;" filled="f">
                  <v:imagedata r:id="rId26"/>
                </v:shape>
                <v:shape id="Picture 1544" style="position:absolute;width:51206;height:14212;left:0;top:11847;" filled="f">
                  <v:imagedata r:id="rId27"/>
                </v:shape>
              </v:group>
            </w:pict>
          </mc:Fallback>
        </mc:AlternateContent>
      </w:r>
    </w:p>
    <w:p w14:paraId="2D35FD74" w14:textId="77777777" w:rsidR="00736494" w:rsidRDefault="009156A5">
      <w:pPr>
        <w:spacing w:after="242" w:line="256" w:lineRule="auto"/>
      </w:pPr>
      <w:r>
        <w:rPr>
          <w:b/>
          <w:color w:val="7B9B1E"/>
          <w:sz w:val="24"/>
        </w:rPr>
        <w:t xml:space="preserve">ACCESSORY DWELLING UNIT PROVISIONS TO BE ADDRESSED BY LOCAL ZONING CODES:   </w:t>
      </w:r>
    </w:p>
    <w:p w14:paraId="0B4928CE" w14:textId="77777777" w:rsidR="00736494" w:rsidRDefault="009156A5">
      <w:pPr>
        <w:spacing w:after="221"/>
        <w:ind w:left="-5" w:hanging="10"/>
      </w:pPr>
      <w:r>
        <w:rPr>
          <w:b/>
          <w:color w:val="2C2C2C"/>
          <w:sz w:val="24"/>
        </w:rPr>
        <w:t xml:space="preserve">A local law adopted under the bill </w:t>
      </w:r>
      <w:r>
        <w:rPr>
          <w:rFonts w:ascii="Calisto MT" w:eastAsia="Calisto MT" w:hAnsi="Calisto MT" w:cs="Calisto MT"/>
          <w:b/>
          <w:i/>
          <w:color w:val="C04908"/>
          <w:sz w:val="24"/>
        </w:rPr>
        <w:t>MUST</w:t>
      </w:r>
      <w:r>
        <w:rPr>
          <w:b/>
          <w:color w:val="2C2C2C"/>
          <w:sz w:val="24"/>
        </w:rPr>
        <w:t xml:space="preserve">:  </w:t>
      </w:r>
    </w:p>
    <w:p w14:paraId="10AF1C43" w14:textId="77777777" w:rsidR="00736494" w:rsidRDefault="009156A5">
      <w:pPr>
        <w:numPr>
          <w:ilvl w:val="0"/>
          <w:numId w:val="29"/>
        </w:numPr>
        <w:spacing w:after="205" w:line="263" w:lineRule="auto"/>
        <w:ind w:hanging="360"/>
      </w:pPr>
      <w:r>
        <w:rPr>
          <w:rFonts w:ascii="Calisto MT" w:eastAsia="Calisto MT" w:hAnsi="Calisto MT" w:cs="Calisto MT"/>
          <w:sz w:val="24"/>
        </w:rPr>
        <w:t xml:space="preserve">provide for construction of ADUs that meet public health, safety, and welfare standards, including relevant building codes and adequate public facilities provisions;  </w:t>
      </w:r>
    </w:p>
    <w:p w14:paraId="28DBFD60" w14:textId="77777777" w:rsidR="00736494" w:rsidRDefault="009156A5">
      <w:pPr>
        <w:numPr>
          <w:ilvl w:val="0"/>
          <w:numId w:val="29"/>
        </w:numPr>
        <w:spacing w:after="225" w:line="263" w:lineRule="auto"/>
        <w:ind w:hanging="360"/>
      </w:pPr>
      <w:r>
        <w:rPr>
          <w:rFonts w:ascii="Calisto MT" w:eastAsia="Calisto MT" w:hAnsi="Calisto MT" w:cs="Calisto MT"/>
          <w:sz w:val="24"/>
        </w:rPr>
        <w:t xml:space="preserve">exclude the development of an ADU from the calculation of density and application of any residential growth limitation measures; and </w:t>
      </w:r>
    </w:p>
    <w:p w14:paraId="1A9406D9" w14:textId="77777777" w:rsidR="00736494" w:rsidRDefault="009156A5">
      <w:pPr>
        <w:numPr>
          <w:ilvl w:val="0"/>
          <w:numId w:val="29"/>
        </w:numPr>
        <w:spacing w:after="205" w:line="263" w:lineRule="auto"/>
        <w:ind w:hanging="360"/>
      </w:pPr>
      <w:r>
        <w:rPr>
          <w:rFonts w:ascii="Calisto MT" w:eastAsia="Calisto MT" w:hAnsi="Calisto MT" w:cs="Calisto MT"/>
          <w:sz w:val="24"/>
        </w:rPr>
        <w:t xml:space="preserve">not establish setback requirements that exceed the existing accessory structure setback requirements from the side and rear lot lines.  </w:t>
      </w:r>
    </w:p>
    <w:p w14:paraId="3BD7646F" w14:textId="77777777" w:rsidR="00736494" w:rsidRDefault="009156A5">
      <w:pPr>
        <w:spacing w:after="221"/>
        <w:ind w:left="-5" w:hanging="10"/>
      </w:pPr>
      <w:r>
        <w:rPr>
          <w:b/>
          <w:color w:val="2C2C2C"/>
          <w:sz w:val="24"/>
        </w:rPr>
        <w:t xml:space="preserve">A local law adopted under the bill </w:t>
      </w:r>
      <w:r>
        <w:rPr>
          <w:rFonts w:ascii="Calisto MT" w:eastAsia="Calisto MT" w:hAnsi="Calisto MT" w:cs="Calisto MT"/>
          <w:b/>
          <w:i/>
          <w:color w:val="C04908"/>
          <w:sz w:val="24"/>
        </w:rPr>
        <w:t>MAY</w:t>
      </w:r>
      <w:r>
        <w:rPr>
          <w:b/>
          <w:color w:val="2C2C2C"/>
          <w:sz w:val="24"/>
        </w:rPr>
        <w:t xml:space="preserve">: </w:t>
      </w:r>
    </w:p>
    <w:p w14:paraId="5134D99A" w14:textId="77777777" w:rsidR="00736494" w:rsidRDefault="009156A5">
      <w:pPr>
        <w:numPr>
          <w:ilvl w:val="0"/>
          <w:numId w:val="30"/>
        </w:numPr>
        <w:spacing w:after="178" w:line="263" w:lineRule="auto"/>
        <w:ind w:hanging="360"/>
      </w:pPr>
      <w:r>
        <w:rPr>
          <w:rFonts w:ascii="Calisto MT" w:eastAsia="Calisto MT" w:hAnsi="Calisto MT" w:cs="Calisto MT"/>
          <w:sz w:val="24"/>
        </w:rPr>
        <w:t xml:space="preserve">establish standards for ADU safety;  </w:t>
      </w:r>
    </w:p>
    <w:p w14:paraId="738CDCA2" w14:textId="77777777" w:rsidR="00736494" w:rsidRDefault="009156A5">
      <w:pPr>
        <w:numPr>
          <w:ilvl w:val="0"/>
          <w:numId w:val="30"/>
        </w:numPr>
        <w:spacing w:after="225" w:line="263" w:lineRule="auto"/>
        <w:ind w:hanging="360"/>
      </w:pPr>
      <w:r>
        <w:rPr>
          <w:rFonts w:ascii="Calisto MT" w:eastAsia="Calisto MT" w:hAnsi="Calisto MT" w:cs="Calisto MT"/>
          <w:sz w:val="24"/>
        </w:rPr>
        <w:t xml:space="preserve">prohibit the full or partial conversion of an accessory structure as an ADU if the only vehicular access to the accessory structure is from an alley; and  </w:t>
      </w:r>
    </w:p>
    <w:p w14:paraId="7DF91E12" w14:textId="77777777" w:rsidR="00736494" w:rsidRDefault="009156A5">
      <w:pPr>
        <w:numPr>
          <w:ilvl w:val="0"/>
          <w:numId w:val="30"/>
        </w:numPr>
        <w:spacing w:after="205" w:line="263" w:lineRule="auto"/>
        <w:ind w:hanging="360"/>
      </w:pPr>
      <w:r>
        <w:rPr>
          <w:rFonts w:ascii="Calisto MT" w:eastAsia="Calisto MT" w:hAnsi="Calisto MT" w:cs="Calisto MT"/>
          <w:sz w:val="24"/>
        </w:rPr>
        <w:t xml:space="preserve">establish additional off-street parking requirements (provided a parking study is completed and a waiver process is established) that consider, among other things, the cost to construct off-street parking, and whether sufficient curb area exists along the front line of the property to accommodate on-street parking.  </w:t>
      </w:r>
    </w:p>
    <w:p w14:paraId="5903960B" w14:textId="77777777" w:rsidR="00736494" w:rsidRDefault="009156A5">
      <w:pPr>
        <w:spacing w:after="205" w:line="263" w:lineRule="auto"/>
        <w:ind w:left="-5" w:hanging="10"/>
      </w:pPr>
      <w:r>
        <w:rPr>
          <w:b/>
          <w:sz w:val="24"/>
        </w:rPr>
        <w:lastRenderedPageBreak/>
        <w:t>Restrictions on Use:</w:t>
      </w:r>
      <w:r>
        <w:rPr>
          <w:rFonts w:ascii="Calisto MT" w:eastAsia="Calisto MT" w:hAnsi="Calisto MT" w:cs="Calisto MT"/>
          <w:sz w:val="24"/>
        </w:rPr>
        <w:t xml:space="preserve"> A restriction on use (</w:t>
      </w:r>
      <w:r>
        <w:rPr>
          <w:rFonts w:ascii="Calisto MT" w:eastAsia="Calisto MT" w:hAnsi="Calisto MT" w:cs="Calisto MT"/>
          <w:i/>
          <w:sz w:val="24"/>
        </w:rPr>
        <w:t>for example</w:t>
      </w:r>
      <w:r>
        <w:rPr>
          <w:rFonts w:ascii="Calisto MT" w:eastAsia="Calisto MT" w:hAnsi="Calisto MT" w:cs="Calisto MT"/>
          <w:sz w:val="24"/>
        </w:rPr>
        <w:t xml:space="preserve"> HOA bylaws or rules, a condition in a deed, a contract, or a security instrument) may not impose or act to impose an unreasonable limitation on the ability of the property owner to develop or offer for rent an ADU.  </w:t>
      </w:r>
    </w:p>
    <w:p w14:paraId="79A0076C" w14:textId="77777777" w:rsidR="00736494" w:rsidRDefault="009156A5">
      <w:pPr>
        <w:spacing w:after="209"/>
        <w:ind w:left="720"/>
      </w:pPr>
      <w:r>
        <w:rPr>
          <w:rFonts w:ascii="Calisto MT" w:eastAsia="Calisto MT" w:hAnsi="Calisto MT" w:cs="Calisto MT"/>
          <w:b/>
          <w:i/>
          <w:sz w:val="24"/>
        </w:rPr>
        <w:t xml:space="preserve">An unreasonable limitation: </w:t>
      </w:r>
    </w:p>
    <w:p w14:paraId="0B49BBDD" w14:textId="77777777" w:rsidR="00736494" w:rsidRDefault="009156A5">
      <w:pPr>
        <w:numPr>
          <w:ilvl w:val="0"/>
          <w:numId w:val="31"/>
        </w:numPr>
        <w:spacing w:after="205" w:line="263" w:lineRule="auto"/>
        <w:ind w:hanging="338"/>
      </w:pPr>
      <w:r>
        <w:rPr>
          <w:rFonts w:ascii="Calisto MT" w:eastAsia="Calisto MT" w:hAnsi="Calisto MT" w:cs="Calisto MT"/>
          <w:sz w:val="24"/>
        </w:rPr>
        <w:t xml:space="preserve">includes a limitation that prohibits, either explicitly or by effect of the restrictions, the development of an ADU and  </w:t>
      </w:r>
    </w:p>
    <w:p w14:paraId="26B8CA0E" w14:textId="77777777" w:rsidR="00736494" w:rsidRDefault="009156A5">
      <w:pPr>
        <w:numPr>
          <w:ilvl w:val="0"/>
          <w:numId w:val="31"/>
        </w:numPr>
        <w:spacing w:after="205" w:line="263" w:lineRule="auto"/>
        <w:ind w:hanging="338"/>
      </w:pPr>
      <w:r>
        <w:rPr>
          <w:rFonts w:ascii="Calisto MT" w:eastAsia="Calisto MT" w:hAnsi="Calisto MT" w:cs="Calisto MT"/>
          <w:sz w:val="24"/>
        </w:rPr>
        <w:t xml:space="preserve">does not include a limitation on the short-term rental of an ADU.  </w:t>
      </w:r>
    </w:p>
    <w:p w14:paraId="1A2C3A7A" w14:textId="77777777" w:rsidR="00736494" w:rsidRDefault="009156A5">
      <w:pPr>
        <w:spacing w:after="205" w:line="263" w:lineRule="auto"/>
        <w:ind w:left="-5" w:hanging="10"/>
      </w:pPr>
      <w:r>
        <w:rPr>
          <w:b/>
          <w:sz w:val="24"/>
        </w:rPr>
        <w:t>Homeowners Association Voting and Assessments:</w:t>
      </w:r>
      <w:r>
        <w:rPr>
          <w:rFonts w:ascii="Calisto MT" w:eastAsia="Calisto MT" w:hAnsi="Calisto MT" w:cs="Calisto MT"/>
          <w:sz w:val="24"/>
        </w:rPr>
        <w:t xml:space="preserve"> The bill authorizes the governing body of an HOA to treat an ADU as a separate lot for purposes of voting on HOA matters and levying assessments.  </w:t>
      </w:r>
    </w:p>
    <w:p w14:paraId="2DCC276C" w14:textId="77777777" w:rsidR="00736494" w:rsidRDefault="009156A5">
      <w:pPr>
        <w:pStyle w:val="Heading1"/>
        <w:ind w:left="-5"/>
      </w:pPr>
      <w:bookmarkStart w:id="1" w:name="_Toc37491"/>
      <w:r>
        <w:t xml:space="preserve">Recommended Model ADU Ordinance </w:t>
      </w:r>
      <w:bookmarkEnd w:id="1"/>
    </w:p>
    <w:p w14:paraId="0C11308E" w14:textId="77777777" w:rsidR="00736494" w:rsidRDefault="009156A5">
      <w:pPr>
        <w:spacing w:after="0"/>
        <w:ind w:left="51"/>
        <w:jc w:val="center"/>
      </w:pPr>
      <w:r>
        <w:rPr>
          <w:rFonts w:ascii="Corbel" w:eastAsia="Corbel" w:hAnsi="Corbel" w:cs="Corbel"/>
          <w:b/>
          <w:color w:val="2C2C2C"/>
          <w:sz w:val="21"/>
        </w:rPr>
        <w:t xml:space="preserve"> </w:t>
      </w:r>
    </w:p>
    <w:p w14:paraId="0A8074A8" w14:textId="77777777" w:rsidR="00736494" w:rsidRDefault="009156A5">
      <w:pPr>
        <w:spacing w:after="26" w:line="230" w:lineRule="auto"/>
        <w:ind w:left="659" w:right="642" w:hanging="10"/>
        <w:jc w:val="center"/>
      </w:pPr>
      <w:r>
        <w:rPr>
          <w:b/>
          <w:color w:val="2C2C2C"/>
          <w:sz w:val="21"/>
        </w:rPr>
        <w:t xml:space="preserve">ORDINANCE NO. ___ </w:t>
      </w:r>
    </w:p>
    <w:p w14:paraId="7D0805ED" w14:textId="77777777" w:rsidR="00736494" w:rsidRDefault="009156A5">
      <w:pPr>
        <w:spacing w:after="0"/>
        <w:ind w:left="161"/>
      </w:pPr>
      <w:r>
        <w:rPr>
          <w:b/>
          <w:color w:val="2C2C2C"/>
          <w:sz w:val="21"/>
        </w:rPr>
        <w:t xml:space="preserve"> </w:t>
      </w:r>
    </w:p>
    <w:p w14:paraId="37D85E71" w14:textId="77777777" w:rsidR="00736494" w:rsidRDefault="009156A5">
      <w:pPr>
        <w:tabs>
          <w:tab w:val="center" w:pos="2075"/>
          <w:tab w:val="center" w:pos="3896"/>
          <w:tab w:val="center" w:pos="5436"/>
          <w:tab w:val="center" w:pos="6776"/>
          <w:tab w:val="center" w:pos="8099"/>
        </w:tabs>
        <w:spacing w:after="0"/>
      </w:pPr>
      <w:r>
        <w:tab/>
      </w:r>
      <w:r>
        <w:rPr>
          <w:b/>
          <w:color w:val="2C2C2C"/>
          <w:sz w:val="21"/>
        </w:rPr>
        <w:t xml:space="preserve">AN ORDINANCE OF  </w:t>
      </w:r>
      <w:r>
        <w:rPr>
          <w:b/>
          <w:color w:val="2C2C2C"/>
          <w:sz w:val="21"/>
        </w:rPr>
        <w:tab/>
      </w:r>
      <w:r>
        <w:rPr>
          <w:b/>
          <w:color w:val="2C2C2C"/>
          <w:sz w:val="21"/>
          <w:u w:val="single" w:color="2C2C2C"/>
        </w:rPr>
        <w:t xml:space="preserve"> </w:t>
      </w:r>
      <w:r>
        <w:rPr>
          <w:b/>
          <w:color w:val="2C2C2C"/>
          <w:sz w:val="21"/>
          <w:u w:val="single" w:color="2C2C2C"/>
        </w:rPr>
        <w:tab/>
      </w:r>
      <w:r>
        <w:rPr>
          <w:rFonts w:ascii="Calisto MT" w:eastAsia="Calisto MT" w:hAnsi="Calisto MT" w:cs="Calisto MT"/>
          <w:color w:val="2C2C2C"/>
          <w:sz w:val="21"/>
          <w:u w:val="single" w:color="2C2C2C"/>
        </w:rPr>
        <w:t>(</w:t>
      </w:r>
      <w:r>
        <w:rPr>
          <w:rFonts w:ascii="Calisto MT" w:eastAsia="Calisto MT" w:hAnsi="Calisto MT" w:cs="Calisto MT"/>
          <w:i/>
          <w:color w:val="2C2C2C"/>
          <w:sz w:val="20"/>
          <w:u w:val="single" w:color="2C2C2C"/>
        </w:rPr>
        <w:t>name of jurisdiction</w:t>
      </w:r>
      <w:r>
        <w:rPr>
          <w:rFonts w:ascii="Calisto MT" w:eastAsia="Calisto MT" w:hAnsi="Calisto MT" w:cs="Calisto MT"/>
          <w:color w:val="2C2C2C"/>
          <w:sz w:val="21"/>
          <w:u w:val="single" w:color="2C2C2C"/>
        </w:rPr>
        <w:t xml:space="preserve">) </w:t>
      </w:r>
      <w:r>
        <w:rPr>
          <w:rFonts w:ascii="Calisto MT" w:eastAsia="Calisto MT" w:hAnsi="Calisto MT" w:cs="Calisto MT"/>
          <w:color w:val="2C2C2C"/>
          <w:sz w:val="21"/>
          <w:u w:val="single" w:color="2C2C2C"/>
        </w:rPr>
        <w:tab/>
        <w:t xml:space="preserve"> </w:t>
      </w:r>
      <w:r>
        <w:rPr>
          <w:rFonts w:ascii="Calisto MT" w:eastAsia="Calisto MT" w:hAnsi="Calisto MT" w:cs="Calisto MT"/>
          <w:color w:val="2C2C2C"/>
          <w:sz w:val="21"/>
          <w:u w:val="single" w:color="2C2C2C"/>
        </w:rPr>
        <w:tab/>
      </w:r>
      <w:r>
        <w:rPr>
          <w:b/>
          <w:color w:val="2C2C2C"/>
          <w:sz w:val="21"/>
        </w:rPr>
        <w:t xml:space="preserve">TO ALLOW </w:t>
      </w:r>
    </w:p>
    <w:p w14:paraId="02ABECF2" w14:textId="77777777" w:rsidR="00736494" w:rsidRDefault="009156A5">
      <w:pPr>
        <w:spacing w:after="0" w:line="230" w:lineRule="auto"/>
        <w:ind w:left="659" w:right="236" w:hanging="10"/>
        <w:jc w:val="center"/>
      </w:pPr>
      <w:r>
        <w:rPr>
          <w:b/>
          <w:color w:val="2C2C2C"/>
          <w:sz w:val="21"/>
        </w:rPr>
        <w:t xml:space="preserve">AN ACCESSORY DWELLING ON LOT OF RECORD IN ANY ZONE THAT ALLOWS A DETACHED SINGLE-UNIT DWELLING </w:t>
      </w:r>
    </w:p>
    <w:p w14:paraId="18ADB5DD" w14:textId="77777777" w:rsidR="00736494" w:rsidRDefault="009156A5">
      <w:pPr>
        <w:spacing w:after="211"/>
        <w:ind w:left="161"/>
      </w:pPr>
      <w:r>
        <w:rPr>
          <w:b/>
          <w:color w:val="2C2C2C"/>
          <w:sz w:val="21"/>
        </w:rPr>
        <w:t xml:space="preserve"> </w:t>
      </w:r>
    </w:p>
    <w:p w14:paraId="5B26B0BC" w14:textId="77777777" w:rsidR="00736494" w:rsidRDefault="009156A5">
      <w:pPr>
        <w:spacing w:after="243" w:line="249" w:lineRule="auto"/>
        <w:ind w:left="146" w:right="145" w:firstLine="710"/>
        <w:jc w:val="both"/>
      </w:pPr>
      <w:r>
        <w:rPr>
          <w:b/>
          <w:color w:val="2C2C2C"/>
          <w:sz w:val="21"/>
        </w:rPr>
        <w:t>WHEREAS</w:t>
      </w:r>
      <w:r>
        <w:rPr>
          <w:rFonts w:ascii="Calisto MT" w:eastAsia="Calisto MT" w:hAnsi="Calisto MT" w:cs="Calisto MT"/>
          <w:color w:val="2C2C2C"/>
          <w:sz w:val="21"/>
        </w:rPr>
        <w:t xml:space="preserve">, our community is experiencing a lack of housing, resulting in families and households of middle and moderate incomes finding housing prices and rents to be unaffordable; </w:t>
      </w:r>
      <w:r>
        <w:rPr>
          <w:rFonts w:ascii="Calisto MT" w:eastAsia="Calisto MT" w:hAnsi="Calisto MT" w:cs="Calisto MT"/>
          <w:i/>
          <w:color w:val="2C2C2C"/>
          <w:sz w:val="21"/>
        </w:rPr>
        <w:t>and</w:t>
      </w:r>
      <w:r>
        <w:rPr>
          <w:rFonts w:ascii="Calisto MT" w:eastAsia="Calisto MT" w:hAnsi="Calisto MT" w:cs="Calisto MT"/>
          <w:color w:val="2C2C2C"/>
          <w:sz w:val="21"/>
        </w:rPr>
        <w:t xml:space="preserve"> </w:t>
      </w:r>
    </w:p>
    <w:p w14:paraId="7656F7C8" w14:textId="77777777" w:rsidR="00736494" w:rsidRDefault="009156A5">
      <w:pPr>
        <w:spacing w:after="243" w:line="249" w:lineRule="auto"/>
        <w:ind w:left="146" w:right="145" w:firstLine="710"/>
        <w:jc w:val="both"/>
      </w:pPr>
      <w:r>
        <w:rPr>
          <w:b/>
          <w:color w:val="2C2C2C"/>
          <w:sz w:val="21"/>
        </w:rPr>
        <w:t>WHEREAS</w:t>
      </w:r>
      <w:r>
        <w:rPr>
          <w:rFonts w:ascii="Calisto MT" w:eastAsia="Calisto MT" w:hAnsi="Calisto MT" w:cs="Calisto MT"/>
          <w:color w:val="2C2C2C"/>
          <w:sz w:val="21"/>
        </w:rPr>
        <w:t xml:space="preserve">, our community has also determined that the housing crisis is creating difficulties for employers hoping to attract new employees to our community; </w:t>
      </w:r>
      <w:r>
        <w:rPr>
          <w:rFonts w:ascii="Calisto MT" w:eastAsia="Calisto MT" w:hAnsi="Calisto MT" w:cs="Calisto MT"/>
          <w:i/>
          <w:color w:val="2C2C2C"/>
          <w:sz w:val="21"/>
        </w:rPr>
        <w:t>and</w:t>
      </w:r>
      <w:r>
        <w:rPr>
          <w:rFonts w:ascii="Calisto MT" w:eastAsia="Calisto MT" w:hAnsi="Calisto MT" w:cs="Calisto MT"/>
          <w:color w:val="2C2C2C"/>
          <w:sz w:val="21"/>
        </w:rPr>
        <w:t xml:space="preserve">  </w:t>
      </w:r>
    </w:p>
    <w:p w14:paraId="016CAB8C" w14:textId="77777777" w:rsidR="00736494" w:rsidRDefault="009156A5">
      <w:pPr>
        <w:spacing w:after="243" w:line="249" w:lineRule="auto"/>
        <w:ind w:left="146" w:right="145" w:firstLine="710"/>
        <w:jc w:val="both"/>
      </w:pPr>
      <w:r>
        <w:rPr>
          <w:b/>
          <w:color w:val="2C2C2C"/>
          <w:sz w:val="21"/>
        </w:rPr>
        <w:t>WHEREAS</w:t>
      </w:r>
      <w:r>
        <w:rPr>
          <w:rFonts w:ascii="Calisto MT" w:eastAsia="Calisto MT" w:hAnsi="Calisto MT" w:cs="Calisto MT"/>
          <w:color w:val="2C2C2C"/>
          <w:sz w:val="21"/>
        </w:rPr>
        <w:t xml:space="preserve">, our community has also determined that the housing crisis is impacting the wellbeing of our residents, particularly lower-income and middle-income earners; </w:t>
      </w:r>
      <w:r>
        <w:rPr>
          <w:rFonts w:ascii="Calisto MT" w:eastAsia="Calisto MT" w:hAnsi="Calisto MT" w:cs="Calisto MT"/>
          <w:i/>
          <w:color w:val="2C2C2C"/>
          <w:sz w:val="21"/>
        </w:rPr>
        <w:t>and</w:t>
      </w:r>
      <w:r>
        <w:rPr>
          <w:rFonts w:ascii="Calisto MT" w:eastAsia="Calisto MT" w:hAnsi="Calisto MT" w:cs="Calisto MT"/>
          <w:color w:val="2C2C2C"/>
          <w:sz w:val="21"/>
        </w:rPr>
        <w:t xml:space="preserve"> </w:t>
      </w:r>
    </w:p>
    <w:p w14:paraId="40FDBEF3" w14:textId="77777777" w:rsidR="00736494" w:rsidRDefault="009156A5">
      <w:pPr>
        <w:spacing w:after="243" w:line="249" w:lineRule="auto"/>
        <w:ind w:left="146" w:right="145" w:firstLine="710"/>
        <w:jc w:val="both"/>
      </w:pPr>
      <w:r>
        <w:rPr>
          <w:b/>
          <w:color w:val="2C2C2C"/>
          <w:sz w:val="21"/>
        </w:rPr>
        <w:t>WHEREAS</w:t>
      </w:r>
      <w:r>
        <w:rPr>
          <w:rFonts w:ascii="Calisto MT" w:eastAsia="Calisto MT" w:hAnsi="Calisto MT" w:cs="Calisto MT"/>
          <w:color w:val="2C2C2C"/>
          <w:sz w:val="21"/>
        </w:rPr>
        <w:t xml:space="preserve">, accessory dwellings offer a way to provide compact, relatively affordable housing in established neighborhoods with minimal impact to infrastructure and to supply new housing opportunities without added dispersed low-density housing; </w:t>
      </w:r>
      <w:r>
        <w:rPr>
          <w:rFonts w:ascii="Calisto MT" w:eastAsia="Calisto MT" w:hAnsi="Calisto MT" w:cs="Calisto MT"/>
          <w:i/>
          <w:color w:val="2C2C2C"/>
          <w:sz w:val="21"/>
        </w:rPr>
        <w:t>and</w:t>
      </w:r>
      <w:r>
        <w:rPr>
          <w:rFonts w:ascii="Calisto MT" w:eastAsia="Calisto MT" w:hAnsi="Calisto MT" w:cs="Calisto MT"/>
          <w:color w:val="2C2C2C"/>
          <w:sz w:val="21"/>
        </w:rPr>
        <w:t xml:space="preserve"> </w:t>
      </w:r>
    </w:p>
    <w:p w14:paraId="619346BE" w14:textId="77777777" w:rsidR="00736494" w:rsidRDefault="009156A5">
      <w:pPr>
        <w:spacing w:after="243" w:line="249" w:lineRule="auto"/>
        <w:ind w:left="146" w:right="145" w:firstLine="710"/>
        <w:jc w:val="both"/>
      </w:pPr>
      <w:r>
        <w:rPr>
          <w:noProof/>
        </w:rPr>
        <mc:AlternateContent>
          <mc:Choice Requires="wpg">
            <w:drawing>
              <wp:anchor distT="0" distB="0" distL="114300" distR="114300" simplePos="0" relativeHeight="251658241" behindDoc="1" locked="0" layoutInCell="1" allowOverlap="1" wp14:anchorId="4407B448" wp14:editId="769C0A9D">
                <wp:simplePos x="0" y="0"/>
                <wp:positionH relativeFrom="column">
                  <wp:posOffset>-18287</wp:posOffset>
                </wp:positionH>
                <wp:positionV relativeFrom="paragraph">
                  <wp:posOffset>-3414609</wp:posOffset>
                </wp:positionV>
                <wp:extent cx="5981065" cy="7339025"/>
                <wp:effectExtent l="0" t="0" r="0" b="0"/>
                <wp:wrapNone/>
                <wp:docPr id="35581" name="Group 35581"/>
                <wp:cNvGraphicFramePr/>
                <a:graphic xmlns:a="http://schemas.openxmlformats.org/drawingml/2006/main">
                  <a:graphicData uri="http://schemas.microsoft.com/office/word/2010/wordprocessingGroup">
                    <wpg:wgp>
                      <wpg:cNvGrpSpPr/>
                      <wpg:grpSpPr>
                        <a:xfrm>
                          <a:off x="0" y="0"/>
                          <a:ext cx="5981065" cy="7339025"/>
                          <a:chOff x="0" y="0"/>
                          <a:chExt cx="5981065" cy="7339025"/>
                        </a:xfrm>
                      </wpg:grpSpPr>
                      <wps:wsp>
                        <wps:cNvPr id="37827" name="Shape 3782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7828" name="Shape 37828"/>
                        <wps:cNvSpPr/>
                        <wps:spPr>
                          <a:xfrm>
                            <a:off x="85344" y="99136"/>
                            <a:ext cx="5810377" cy="7174357"/>
                          </a:xfrm>
                          <a:custGeom>
                            <a:avLst/>
                            <a:gdLst/>
                            <a:ahLst/>
                            <a:cxnLst/>
                            <a:rect l="0" t="0" r="0" b="0"/>
                            <a:pathLst>
                              <a:path w="5810377" h="7174357">
                                <a:moveTo>
                                  <a:pt x="0" y="0"/>
                                </a:moveTo>
                                <a:lnTo>
                                  <a:pt x="5810377" y="0"/>
                                </a:lnTo>
                                <a:lnTo>
                                  <a:pt x="5810377" y="7174357"/>
                                </a:lnTo>
                                <a:lnTo>
                                  <a:pt x="0" y="7174357"/>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29" name="Shape 37829"/>
                        <wps:cNvSpPr/>
                        <wps:spPr>
                          <a:xfrm>
                            <a:off x="120396" y="99136"/>
                            <a:ext cx="5740274" cy="162992"/>
                          </a:xfrm>
                          <a:custGeom>
                            <a:avLst/>
                            <a:gdLst/>
                            <a:ahLst/>
                            <a:cxnLst/>
                            <a:rect l="0" t="0" r="0" b="0"/>
                            <a:pathLst>
                              <a:path w="5740274" h="162992">
                                <a:moveTo>
                                  <a:pt x="0" y="0"/>
                                </a:moveTo>
                                <a:lnTo>
                                  <a:pt x="5740274" y="0"/>
                                </a:lnTo>
                                <a:lnTo>
                                  <a:pt x="5740274" y="162992"/>
                                </a:lnTo>
                                <a:lnTo>
                                  <a:pt x="0" y="16299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0" name="Shape 37830"/>
                        <wps:cNvSpPr/>
                        <wps:spPr>
                          <a:xfrm>
                            <a:off x="120396" y="262127"/>
                            <a:ext cx="5740274" cy="156972"/>
                          </a:xfrm>
                          <a:custGeom>
                            <a:avLst/>
                            <a:gdLst/>
                            <a:ahLst/>
                            <a:cxnLst/>
                            <a:rect l="0" t="0" r="0" b="0"/>
                            <a:pathLst>
                              <a:path w="5740274" h="156972">
                                <a:moveTo>
                                  <a:pt x="0" y="0"/>
                                </a:moveTo>
                                <a:lnTo>
                                  <a:pt x="5740274" y="0"/>
                                </a:lnTo>
                                <a:lnTo>
                                  <a:pt x="5740274" y="156972"/>
                                </a:lnTo>
                                <a:lnTo>
                                  <a:pt x="0" y="1569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1" name="Shape 37831"/>
                        <wps:cNvSpPr/>
                        <wps:spPr>
                          <a:xfrm>
                            <a:off x="120396" y="419099"/>
                            <a:ext cx="5740274" cy="156972"/>
                          </a:xfrm>
                          <a:custGeom>
                            <a:avLst/>
                            <a:gdLst/>
                            <a:ahLst/>
                            <a:cxnLst/>
                            <a:rect l="0" t="0" r="0" b="0"/>
                            <a:pathLst>
                              <a:path w="5740274" h="156972">
                                <a:moveTo>
                                  <a:pt x="0" y="0"/>
                                </a:moveTo>
                                <a:lnTo>
                                  <a:pt x="5740274" y="0"/>
                                </a:lnTo>
                                <a:lnTo>
                                  <a:pt x="5740274" y="156972"/>
                                </a:lnTo>
                                <a:lnTo>
                                  <a:pt x="0" y="1569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2" name="Shape 37832"/>
                        <wps:cNvSpPr/>
                        <wps:spPr>
                          <a:xfrm>
                            <a:off x="120396" y="576072"/>
                            <a:ext cx="5740274" cy="160020"/>
                          </a:xfrm>
                          <a:custGeom>
                            <a:avLst/>
                            <a:gdLst/>
                            <a:ahLst/>
                            <a:cxnLst/>
                            <a:rect l="0" t="0" r="0" b="0"/>
                            <a:pathLst>
                              <a:path w="5740274" h="160020">
                                <a:moveTo>
                                  <a:pt x="0" y="0"/>
                                </a:moveTo>
                                <a:lnTo>
                                  <a:pt x="5740274" y="0"/>
                                </a:lnTo>
                                <a:lnTo>
                                  <a:pt x="5740274" y="160020"/>
                                </a:lnTo>
                                <a:lnTo>
                                  <a:pt x="0" y="160020"/>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3" name="Shape 37833"/>
                        <wps:cNvSpPr/>
                        <wps:spPr>
                          <a:xfrm>
                            <a:off x="120396" y="736092"/>
                            <a:ext cx="5740274" cy="156972"/>
                          </a:xfrm>
                          <a:custGeom>
                            <a:avLst/>
                            <a:gdLst/>
                            <a:ahLst/>
                            <a:cxnLst/>
                            <a:rect l="0" t="0" r="0" b="0"/>
                            <a:pathLst>
                              <a:path w="5740274" h="156972">
                                <a:moveTo>
                                  <a:pt x="0" y="0"/>
                                </a:moveTo>
                                <a:lnTo>
                                  <a:pt x="5740274" y="0"/>
                                </a:lnTo>
                                <a:lnTo>
                                  <a:pt x="5740274" y="156972"/>
                                </a:lnTo>
                                <a:lnTo>
                                  <a:pt x="0" y="1569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4" name="Shape 37834"/>
                        <wps:cNvSpPr/>
                        <wps:spPr>
                          <a:xfrm>
                            <a:off x="120396" y="893063"/>
                            <a:ext cx="5740274" cy="156972"/>
                          </a:xfrm>
                          <a:custGeom>
                            <a:avLst/>
                            <a:gdLst/>
                            <a:ahLst/>
                            <a:cxnLst/>
                            <a:rect l="0" t="0" r="0" b="0"/>
                            <a:pathLst>
                              <a:path w="5740274" h="156972">
                                <a:moveTo>
                                  <a:pt x="0" y="0"/>
                                </a:moveTo>
                                <a:lnTo>
                                  <a:pt x="5740274" y="0"/>
                                </a:lnTo>
                                <a:lnTo>
                                  <a:pt x="5740274" y="156972"/>
                                </a:lnTo>
                                <a:lnTo>
                                  <a:pt x="0" y="1569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5" name="Shape 37835"/>
                        <wps:cNvSpPr/>
                        <wps:spPr>
                          <a:xfrm>
                            <a:off x="120396" y="1050036"/>
                            <a:ext cx="5740274" cy="310896"/>
                          </a:xfrm>
                          <a:custGeom>
                            <a:avLst/>
                            <a:gdLst/>
                            <a:ahLst/>
                            <a:cxnLst/>
                            <a:rect l="0" t="0" r="0" b="0"/>
                            <a:pathLst>
                              <a:path w="5740274" h="310896">
                                <a:moveTo>
                                  <a:pt x="0" y="0"/>
                                </a:moveTo>
                                <a:lnTo>
                                  <a:pt x="5740274" y="0"/>
                                </a:lnTo>
                                <a:lnTo>
                                  <a:pt x="5740274" y="310896"/>
                                </a:lnTo>
                                <a:lnTo>
                                  <a:pt x="0" y="31089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6" name="Shape 37836"/>
                        <wps:cNvSpPr/>
                        <wps:spPr>
                          <a:xfrm>
                            <a:off x="120396" y="1360932"/>
                            <a:ext cx="5740274" cy="156972"/>
                          </a:xfrm>
                          <a:custGeom>
                            <a:avLst/>
                            <a:gdLst/>
                            <a:ahLst/>
                            <a:cxnLst/>
                            <a:rect l="0" t="0" r="0" b="0"/>
                            <a:pathLst>
                              <a:path w="5740274" h="156972">
                                <a:moveTo>
                                  <a:pt x="0" y="0"/>
                                </a:moveTo>
                                <a:lnTo>
                                  <a:pt x="5740274" y="0"/>
                                </a:lnTo>
                                <a:lnTo>
                                  <a:pt x="5740274" y="156972"/>
                                </a:lnTo>
                                <a:lnTo>
                                  <a:pt x="0" y="1569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7" name="Shape 37837"/>
                        <wps:cNvSpPr/>
                        <wps:spPr>
                          <a:xfrm>
                            <a:off x="120396" y="1517980"/>
                            <a:ext cx="5740274" cy="309676"/>
                          </a:xfrm>
                          <a:custGeom>
                            <a:avLst/>
                            <a:gdLst/>
                            <a:ahLst/>
                            <a:cxnLst/>
                            <a:rect l="0" t="0" r="0" b="0"/>
                            <a:pathLst>
                              <a:path w="5740274" h="309676">
                                <a:moveTo>
                                  <a:pt x="0" y="0"/>
                                </a:moveTo>
                                <a:lnTo>
                                  <a:pt x="5740274" y="0"/>
                                </a:lnTo>
                                <a:lnTo>
                                  <a:pt x="5740274" y="309676"/>
                                </a:lnTo>
                                <a:lnTo>
                                  <a:pt x="0" y="30967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8" name="Shape 37838"/>
                        <wps:cNvSpPr/>
                        <wps:spPr>
                          <a:xfrm>
                            <a:off x="120396" y="1827657"/>
                            <a:ext cx="5740274" cy="158496"/>
                          </a:xfrm>
                          <a:custGeom>
                            <a:avLst/>
                            <a:gdLst/>
                            <a:ahLst/>
                            <a:cxnLst/>
                            <a:rect l="0" t="0" r="0" b="0"/>
                            <a:pathLst>
                              <a:path w="5740274" h="158496">
                                <a:moveTo>
                                  <a:pt x="0" y="0"/>
                                </a:moveTo>
                                <a:lnTo>
                                  <a:pt x="5740274" y="0"/>
                                </a:lnTo>
                                <a:lnTo>
                                  <a:pt x="5740274" y="158496"/>
                                </a:lnTo>
                                <a:lnTo>
                                  <a:pt x="0" y="15849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39" name="Shape 37839"/>
                        <wps:cNvSpPr/>
                        <wps:spPr>
                          <a:xfrm>
                            <a:off x="120396" y="1986152"/>
                            <a:ext cx="5740274" cy="307848"/>
                          </a:xfrm>
                          <a:custGeom>
                            <a:avLst/>
                            <a:gdLst/>
                            <a:ahLst/>
                            <a:cxnLst/>
                            <a:rect l="0" t="0" r="0" b="0"/>
                            <a:pathLst>
                              <a:path w="5740274" h="307848">
                                <a:moveTo>
                                  <a:pt x="0" y="0"/>
                                </a:moveTo>
                                <a:lnTo>
                                  <a:pt x="5740274" y="0"/>
                                </a:lnTo>
                                <a:lnTo>
                                  <a:pt x="5740274" y="307848"/>
                                </a:lnTo>
                                <a:lnTo>
                                  <a:pt x="0" y="307848"/>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0" name="Shape 37840"/>
                        <wps:cNvSpPr/>
                        <wps:spPr>
                          <a:xfrm>
                            <a:off x="120396" y="2294000"/>
                            <a:ext cx="5740274" cy="158496"/>
                          </a:xfrm>
                          <a:custGeom>
                            <a:avLst/>
                            <a:gdLst/>
                            <a:ahLst/>
                            <a:cxnLst/>
                            <a:rect l="0" t="0" r="0" b="0"/>
                            <a:pathLst>
                              <a:path w="5740274" h="158496">
                                <a:moveTo>
                                  <a:pt x="0" y="0"/>
                                </a:moveTo>
                                <a:lnTo>
                                  <a:pt x="5740274" y="0"/>
                                </a:lnTo>
                                <a:lnTo>
                                  <a:pt x="5740274" y="158496"/>
                                </a:lnTo>
                                <a:lnTo>
                                  <a:pt x="0" y="15849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1" name="Shape 37841"/>
                        <wps:cNvSpPr/>
                        <wps:spPr>
                          <a:xfrm>
                            <a:off x="120396" y="2452496"/>
                            <a:ext cx="5740274" cy="309372"/>
                          </a:xfrm>
                          <a:custGeom>
                            <a:avLst/>
                            <a:gdLst/>
                            <a:ahLst/>
                            <a:cxnLst/>
                            <a:rect l="0" t="0" r="0" b="0"/>
                            <a:pathLst>
                              <a:path w="5740274" h="309372">
                                <a:moveTo>
                                  <a:pt x="0" y="0"/>
                                </a:moveTo>
                                <a:lnTo>
                                  <a:pt x="5740274" y="0"/>
                                </a:lnTo>
                                <a:lnTo>
                                  <a:pt x="5740274" y="309372"/>
                                </a:lnTo>
                                <a:lnTo>
                                  <a:pt x="0" y="3093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2" name="Shape 37842"/>
                        <wps:cNvSpPr/>
                        <wps:spPr>
                          <a:xfrm>
                            <a:off x="120396" y="2761869"/>
                            <a:ext cx="5740274" cy="156972"/>
                          </a:xfrm>
                          <a:custGeom>
                            <a:avLst/>
                            <a:gdLst/>
                            <a:ahLst/>
                            <a:cxnLst/>
                            <a:rect l="0" t="0" r="0" b="0"/>
                            <a:pathLst>
                              <a:path w="5740274" h="156972">
                                <a:moveTo>
                                  <a:pt x="0" y="0"/>
                                </a:moveTo>
                                <a:lnTo>
                                  <a:pt x="5740274" y="0"/>
                                </a:lnTo>
                                <a:lnTo>
                                  <a:pt x="5740274" y="156972"/>
                                </a:lnTo>
                                <a:lnTo>
                                  <a:pt x="0" y="1569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3" name="Shape 37843"/>
                        <wps:cNvSpPr/>
                        <wps:spPr>
                          <a:xfrm>
                            <a:off x="120396" y="2918841"/>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4" name="Shape 37844"/>
                        <wps:cNvSpPr/>
                        <wps:spPr>
                          <a:xfrm>
                            <a:off x="120396" y="3072765"/>
                            <a:ext cx="5740274" cy="309372"/>
                          </a:xfrm>
                          <a:custGeom>
                            <a:avLst/>
                            <a:gdLst/>
                            <a:ahLst/>
                            <a:cxnLst/>
                            <a:rect l="0" t="0" r="0" b="0"/>
                            <a:pathLst>
                              <a:path w="5740274" h="309372">
                                <a:moveTo>
                                  <a:pt x="0" y="0"/>
                                </a:moveTo>
                                <a:lnTo>
                                  <a:pt x="5740274" y="0"/>
                                </a:lnTo>
                                <a:lnTo>
                                  <a:pt x="5740274" y="309372"/>
                                </a:lnTo>
                                <a:lnTo>
                                  <a:pt x="0" y="3093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5" name="Shape 37845"/>
                        <wps:cNvSpPr/>
                        <wps:spPr>
                          <a:xfrm>
                            <a:off x="120396" y="3382136"/>
                            <a:ext cx="5740274" cy="158496"/>
                          </a:xfrm>
                          <a:custGeom>
                            <a:avLst/>
                            <a:gdLst/>
                            <a:ahLst/>
                            <a:cxnLst/>
                            <a:rect l="0" t="0" r="0" b="0"/>
                            <a:pathLst>
                              <a:path w="5740274" h="158496">
                                <a:moveTo>
                                  <a:pt x="0" y="0"/>
                                </a:moveTo>
                                <a:lnTo>
                                  <a:pt x="5740274" y="0"/>
                                </a:lnTo>
                                <a:lnTo>
                                  <a:pt x="5740274" y="158496"/>
                                </a:lnTo>
                                <a:lnTo>
                                  <a:pt x="0" y="15849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6" name="Shape 37846"/>
                        <wps:cNvSpPr/>
                        <wps:spPr>
                          <a:xfrm>
                            <a:off x="120396" y="3540632"/>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7" name="Shape 37847"/>
                        <wps:cNvSpPr/>
                        <wps:spPr>
                          <a:xfrm>
                            <a:off x="120396" y="3694556"/>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8" name="Shape 37848"/>
                        <wps:cNvSpPr/>
                        <wps:spPr>
                          <a:xfrm>
                            <a:off x="120396" y="3848430"/>
                            <a:ext cx="5740274" cy="308153"/>
                          </a:xfrm>
                          <a:custGeom>
                            <a:avLst/>
                            <a:gdLst/>
                            <a:ahLst/>
                            <a:cxnLst/>
                            <a:rect l="0" t="0" r="0" b="0"/>
                            <a:pathLst>
                              <a:path w="5740274" h="308153">
                                <a:moveTo>
                                  <a:pt x="0" y="0"/>
                                </a:moveTo>
                                <a:lnTo>
                                  <a:pt x="5740274" y="0"/>
                                </a:lnTo>
                                <a:lnTo>
                                  <a:pt x="5740274" y="308153"/>
                                </a:lnTo>
                                <a:lnTo>
                                  <a:pt x="0" y="308153"/>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49" name="Shape 37849"/>
                        <wps:cNvSpPr/>
                        <wps:spPr>
                          <a:xfrm>
                            <a:off x="120396" y="4156582"/>
                            <a:ext cx="5740274" cy="158496"/>
                          </a:xfrm>
                          <a:custGeom>
                            <a:avLst/>
                            <a:gdLst/>
                            <a:ahLst/>
                            <a:cxnLst/>
                            <a:rect l="0" t="0" r="0" b="0"/>
                            <a:pathLst>
                              <a:path w="5740274" h="158496">
                                <a:moveTo>
                                  <a:pt x="0" y="0"/>
                                </a:moveTo>
                                <a:lnTo>
                                  <a:pt x="5740274" y="0"/>
                                </a:lnTo>
                                <a:lnTo>
                                  <a:pt x="5740274" y="158496"/>
                                </a:lnTo>
                                <a:lnTo>
                                  <a:pt x="0" y="15849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0" name="Shape 37850"/>
                        <wps:cNvSpPr/>
                        <wps:spPr>
                          <a:xfrm>
                            <a:off x="120396" y="4315079"/>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1" name="Shape 37851"/>
                        <wps:cNvSpPr/>
                        <wps:spPr>
                          <a:xfrm>
                            <a:off x="120396" y="4469003"/>
                            <a:ext cx="5740274" cy="309372"/>
                          </a:xfrm>
                          <a:custGeom>
                            <a:avLst/>
                            <a:gdLst/>
                            <a:ahLst/>
                            <a:cxnLst/>
                            <a:rect l="0" t="0" r="0" b="0"/>
                            <a:pathLst>
                              <a:path w="5740274" h="309372">
                                <a:moveTo>
                                  <a:pt x="0" y="0"/>
                                </a:moveTo>
                                <a:lnTo>
                                  <a:pt x="5740274" y="0"/>
                                </a:lnTo>
                                <a:lnTo>
                                  <a:pt x="5740274" y="309372"/>
                                </a:lnTo>
                                <a:lnTo>
                                  <a:pt x="0" y="3093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2" name="Shape 37852"/>
                        <wps:cNvSpPr/>
                        <wps:spPr>
                          <a:xfrm>
                            <a:off x="120396" y="4778375"/>
                            <a:ext cx="5740274" cy="156972"/>
                          </a:xfrm>
                          <a:custGeom>
                            <a:avLst/>
                            <a:gdLst/>
                            <a:ahLst/>
                            <a:cxnLst/>
                            <a:rect l="0" t="0" r="0" b="0"/>
                            <a:pathLst>
                              <a:path w="5740274" h="156972">
                                <a:moveTo>
                                  <a:pt x="0" y="0"/>
                                </a:moveTo>
                                <a:lnTo>
                                  <a:pt x="5740274" y="0"/>
                                </a:lnTo>
                                <a:lnTo>
                                  <a:pt x="5740274" y="156972"/>
                                </a:lnTo>
                                <a:lnTo>
                                  <a:pt x="0" y="156972"/>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3" name="Shape 37853"/>
                        <wps:cNvSpPr/>
                        <wps:spPr>
                          <a:xfrm>
                            <a:off x="120396" y="4935347"/>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4" name="Shape 37854"/>
                        <wps:cNvSpPr/>
                        <wps:spPr>
                          <a:xfrm>
                            <a:off x="120396" y="5089271"/>
                            <a:ext cx="5740274" cy="306324"/>
                          </a:xfrm>
                          <a:custGeom>
                            <a:avLst/>
                            <a:gdLst/>
                            <a:ahLst/>
                            <a:cxnLst/>
                            <a:rect l="0" t="0" r="0" b="0"/>
                            <a:pathLst>
                              <a:path w="5740274" h="306324">
                                <a:moveTo>
                                  <a:pt x="0" y="0"/>
                                </a:moveTo>
                                <a:lnTo>
                                  <a:pt x="5740274" y="0"/>
                                </a:lnTo>
                                <a:lnTo>
                                  <a:pt x="5740274" y="306324"/>
                                </a:lnTo>
                                <a:lnTo>
                                  <a:pt x="0" y="3063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5" name="Shape 37855"/>
                        <wps:cNvSpPr/>
                        <wps:spPr>
                          <a:xfrm>
                            <a:off x="120396" y="5395595"/>
                            <a:ext cx="5740274" cy="163068"/>
                          </a:xfrm>
                          <a:custGeom>
                            <a:avLst/>
                            <a:gdLst/>
                            <a:ahLst/>
                            <a:cxnLst/>
                            <a:rect l="0" t="0" r="0" b="0"/>
                            <a:pathLst>
                              <a:path w="5740274" h="163068">
                                <a:moveTo>
                                  <a:pt x="0" y="0"/>
                                </a:moveTo>
                                <a:lnTo>
                                  <a:pt x="5740274" y="0"/>
                                </a:lnTo>
                                <a:lnTo>
                                  <a:pt x="5740274" y="163068"/>
                                </a:lnTo>
                                <a:lnTo>
                                  <a:pt x="0" y="163068"/>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6" name="Shape 37856"/>
                        <wps:cNvSpPr/>
                        <wps:spPr>
                          <a:xfrm>
                            <a:off x="120396" y="5558663"/>
                            <a:ext cx="5740274" cy="163068"/>
                          </a:xfrm>
                          <a:custGeom>
                            <a:avLst/>
                            <a:gdLst/>
                            <a:ahLst/>
                            <a:cxnLst/>
                            <a:rect l="0" t="0" r="0" b="0"/>
                            <a:pathLst>
                              <a:path w="5740274" h="163068">
                                <a:moveTo>
                                  <a:pt x="0" y="0"/>
                                </a:moveTo>
                                <a:lnTo>
                                  <a:pt x="5740274" y="0"/>
                                </a:lnTo>
                                <a:lnTo>
                                  <a:pt x="5740274" y="163068"/>
                                </a:lnTo>
                                <a:lnTo>
                                  <a:pt x="0" y="163068"/>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7" name="Shape 37857"/>
                        <wps:cNvSpPr/>
                        <wps:spPr>
                          <a:xfrm>
                            <a:off x="120396" y="5721731"/>
                            <a:ext cx="5740274" cy="158496"/>
                          </a:xfrm>
                          <a:custGeom>
                            <a:avLst/>
                            <a:gdLst/>
                            <a:ahLst/>
                            <a:cxnLst/>
                            <a:rect l="0" t="0" r="0" b="0"/>
                            <a:pathLst>
                              <a:path w="5740274" h="158496">
                                <a:moveTo>
                                  <a:pt x="0" y="0"/>
                                </a:moveTo>
                                <a:lnTo>
                                  <a:pt x="5740274" y="0"/>
                                </a:lnTo>
                                <a:lnTo>
                                  <a:pt x="5740274" y="158496"/>
                                </a:lnTo>
                                <a:lnTo>
                                  <a:pt x="0" y="15849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58" name="Shape 37858"/>
                        <wps:cNvSpPr/>
                        <wps:spPr>
                          <a:xfrm>
                            <a:off x="4970729" y="5861939"/>
                            <a:ext cx="637032" cy="9144"/>
                          </a:xfrm>
                          <a:custGeom>
                            <a:avLst/>
                            <a:gdLst/>
                            <a:ahLst/>
                            <a:cxnLst/>
                            <a:rect l="0" t="0" r="0" b="0"/>
                            <a:pathLst>
                              <a:path w="637032" h="9144">
                                <a:moveTo>
                                  <a:pt x="0" y="0"/>
                                </a:moveTo>
                                <a:lnTo>
                                  <a:pt x="637032" y="0"/>
                                </a:lnTo>
                                <a:lnTo>
                                  <a:pt x="637032" y="9144"/>
                                </a:lnTo>
                                <a:lnTo>
                                  <a:pt x="0" y="9144"/>
                                </a:lnTo>
                                <a:lnTo>
                                  <a:pt x="0" y="0"/>
                                </a:lnTo>
                              </a:path>
                            </a:pathLst>
                          </a:custGeom>
                          <a:ln w="0" cap="flat">
                            <a:miter lim="127000"/>
                          </a:ln>
                        </wps:spPr>
                        <wps:style>
                          <a:lnRef idx="0">
                            <a:srgbClr val="000000">
                              <a:alpha val="0"/>
                            </a:srgbClr>
                          </a:lnRef>
                          <a:fillRef idx="1">
                            <a:srgbClr val="2C2C2C"/>
                          </a:fillRef>
                          <a:effectRef idx="0">
                            <a:scrgbClr r="0" g="0" b="0"/>
                          </a:effectRef>
                          <a:fontRef idx="none"/>
                        </wps:style>
                        <wps:bodyPr/>
                      </wps:wsp>
                      <wps:wsp>
                        <wps:cNvPr id="37859" name="Shape 37859"/>
                        <wps:cNvSpPr/>
                        <wps:spPr>
                          <a:xfrm>
                            <a:off x="120396" y="5880227"/>
                            <a:ext cx="5740274" cy="155448"/>
                          </a:xfrm>
                          <a:custGeom>
                            <a:avLst/>
                            <a:gdLst/>
                            <a:ahLst/>
                            <a:cxnLst/>
                            <a:rect l="0" t="0" r="0" b="0"/>
                            <a:pathLst>
                              <a:path w="5740274" h="155448">
                                <a:moveTo>
                                  <a:pt x="0" y="0"/>
                                </a:moveTo>
                                <a:lnTo>
                                  <a:pt x="5740274" y="0"/>
                                </a:lnTo>
                                <a:lnTo>
                                  <a:pt x="5740274" y="155448"/>
                                </a:lnTo>
                                <a:lnTo>
                                  <a:pt x="0" y="155448"/>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0" name="Shape 37860"/>
                        <wps:cNvSpPr/>
                        <wps:spPr>
                          <a:xfrm>
                            <a:off x="120396" y="6035751"/>
                            <a:ext cx="5740274" cy="157276"/>
                          </a:xfrm>
                          <a:custGeom>
                            <a:avLst/>
                            <a:gdLst/>
                            <a:ahLst/>
                            <a:cxnLst/>
                            <a:rect l="0" t="0" r="0" b="0"/>
                            <a:pathLst>
                              <a:path w="5740274" h="157276">
                                <a:moveTo>
                                  <a:pt x="0" y="0"/>
                                </a:moveTo>
                                <a:lnTo>
                                  <a:pt x="5740274" y="0"/>
                                </a:lnTo>
                                <a:lnTo>
                                  <a:pt x="5740274" y="157276"/>
                                </a:lnTo>
                                <a:lnTo>
                                  <a:pt x="0" y="15727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1" name="Shape 37861"/>
                        <wps:cNvSpPr/>
                        <wps:spPr>
                          <a:xfrm>
                            <a:off x="120396" y="6193028"/>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2" name="Shape 37862"/>
                        <wps:cNvSpPr/>
                        <wps:spPr>
                          <a:xfrm>
                            <a:off x="120396" y="6346952"/>
                            <a:ext cx="5740274" cy="158496"/>
                          </a:xfrm>
                          <a:custGeom>
                            <a:avLst/>
                            <a:gdLst/>
                            <a:ahLst/>
                            <a:cxnLst/>
                            <a:rect l="0" t="0" r="0" b="0"/>
                            <a:pathLst>
                              <a:path w="5740274" h="158496">
                                <a:moveTo>
                                  <a:pt x="0" y="0"/>
                                </a:moveTo>
                                <a:lnTo>
                                  <a:pt x="5740274" y="0"/>
                                </a:lnTo>
                                <a:lnTo>
                                  <a:pt x="5740274" y="158496"/>
                                </a:lnTo>
                                <a:lnTo>
                                  <a:pt x="0" y="158496"/>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3" name="Shape 37863"/>
                        <wps:cNvSpPr/>
                        <wps:spPr>
                          <a:xfrm>
                            <a:off x="120396" y="6505447"/>
                            <a:ext cx="5740274" cy="152400"/>
                          </a:xfrm>
                          <a:custGeom>
                            <a:avLst/>
                            <a:gdLst/>
                            <a:ahLst/>
                            <a:cxnLst/>
                            <a:rect l="0" t="0" r="0" b="0"/>
                            <a:pathLst>
                              <a:path w="5740274" h="152400">
                                <a:moveTo>
                                  <a:pt x="0" y="0"/>
                                </a:moveTo>
                                <a:lnTo>
                                  <a:pt x="5740274" y="0"/>
                                </a:lnTo>
                                <a:lnTo>
                                  <a:pt x="5740274" y="152400"/>
                                </a:lnTo>
                                <a:lnTo>
                                  <a:pt x="0" y="152400"/>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4" name="Shape 37864"/>
                        <wps:cNvSpPr/>
                        <wps:spPr>
                          <a:xfrm>
                            <a:off x="120396" y="6657848"/>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5" name="Shape 37865"/>
                        <wps:cNvSpPr/>
                        <wps:spPr>
                          <a:xfrm>
                            <a:off x="120396" y="6811772"/>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6" name="Shape 37866"/>
                        <wps:cNvSpPr/>
                        <wps:spPr>
                          <a:xfrm>
                            <a:off x="120396" y="6965696"/>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7" name="Shape 37867"/>
                        <wps:cNvSpPr/>
                        <wps:spPr>
                          <a:xfrm>
                            <a:off x="120396" y="7119569"/>
                            <a:ext cx="5740274" cy="153924"/>
                          </a:xfrm>
                          <a:custGeom>
                            <a:avLst/>
                            <a:gdLst/>
                            <a:ahLst/>
                            <a:cxnLst/>
                            <a:rect l="0" t="0" r="0" b="0"/>
                            <a:pathLst>
                              <a:path w="5740274" h="153924">
                                <a:moveTo>
                                  <a:pt x="0" y="0"/>
                                </a:moveTo>
                                <a:lnTo>
                                  <a:pt x="5740274" y="0"/>
                                </a:lnTo>
                                <a:lnTo>
                                  <a:pt x="5740274" y="153924"/>
                                </a:lnTo>
                                <a:lnTo>
                                  <a:pt x="0" y="15392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68" name="Shape 37868"/>
                        <wps:cNvSpPr/>
                        <wps:spPr>
                          <a:xfrm>
                            <a:off x="18288" y="32003"/>
                            <a:ext cx="9144" cy="67056"/>
                          </a:xfrm>
                          <a:custGeom>
                            <a:avLst/>
                            <a:gdLst/>
                            <a:ahLst/>
                            <a:cxnLst/>
                            <a:rect l="0" t="0" r="0" b="0"/>
                            <a:pathLst>
                              <a:path w="9144" h="67056">
                                <a:moveTo>
                                  <a:pt x="0" y="0"/>
                                </a:moveTo>
                                <a:lnTo>
                                  <a:pt x="9144" y="0"/>
                                </a:lnTo>
                                <a:lnTo>
                                  <a:pt x="9144" y="67056"/>
                                </a:lnTo>
                                <a:lnTo>
                                  <a:pt x="0" y="67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69" name="Shape 37869"/>
                        <wps:cNvSpPr/>
                        <wps:spPr>
                          <a:xfrm>
                            <a:off x="18288" y="32003"/>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0" name="Shape 37870"/>
                        <wps:cNvSpPr/>
                        <wps:spPr>
                          <a:xfrm>
                            <a:off x="65532" y="79247"/>
                            <a:ext cx="18288" cy="19812"/>
                          </a:xfrm>
                          <a:custGeom>
                            <a:avLst/>
                            <a:gdLst/>
                            <a:ahLst/>
                            <a:cxnLst/>
                            <a:rect l="0" t="0" r="0" b="0"/>
                            <a:pathLst>
                              <a:path w="18288" h="19812">
                                <a:moveTo>
                                  <a:pt x="0" y="0"/>
                                </a:moveTo>
                                <a:lnTo>
                                  <a:pt x="18288" y="0"/>
                                </a:lnTo>
                                <a:lnTo>
                                  <a:pt x="18288"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1" name="Shape 37871"/>
                        <wps:cNvSpPr/>
                        <wps:spPr>
                          <a:xfrm>
                            <a:off x="65532" y="7924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2" name="Shape 37872"/>
                        <wps:cNvSpPr/>
                        <wps:spPr>
                          <a:xfrm>
                            <a:off x="83820" y="32003"/>
                            <a:ext cx="5811902" cy="9144"/>
                          </a:xfrm>
                          <a:custGeom>
                            <a:avLst/>
                            <a:gdLst/>
                            <a:ahLst/>
                            <a:cxnLst/>
                            <a:rect l="0" t="0" r="0" b="0"/>
                            <a:pathLst>
                              <a:path w="5811902" h="9144">
                                <a:moveTo>
                                  <a:pt x="0" y="0"/>
                                </a:moveTo>
                                <a:lnTo>
                                  <a:pt x="5811902" y="0"/>
                                </a:lnTo>
                                <a:lnTo>
                                  <a:pt x="5811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3" name="Shape 37873"/>
                        <wps:cNvSpPr/>
                        <wps:spPr>
                          <a:xfrm>
                            <a:off x="83820" y="79247"/>
                            <a:ext cx="5811902" cy="18288"/>
                          </a:xfrm>
                          <a:custGeom>
                            <a:avLst/>
                            <a:gdLst/>
                            <a:ahLst/>
                            <a:cxnLst/>
                            <a:rect l="0" t="0" r="0" b="0"/>
                            <a:pathLst>
                              <a:path w="5811902" h="18288">
                                <a:moveTo>
                                  <a:pt x="0" y="0"/>
                                </a:moveTo>
                                <a:lnTo>
                                  <a:pt x="5811902" y="0"/>
                                </a:lnTo>
                                <a:lnTo>
                                  <a:pt x="581190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4" name="Shape 37874"/>
                        <wps:cNvSpPr/>
                        <wps:spPr>
                          <a:xfrm>
                            <a:off x="83820" y="97535"/>
                            <a:ext cx="5811902" cy="9144"/>
                          </a:xfrm>
                          <a:custGeom>
                            <a:avLst/>
                            <a:gdLst/>
                            <a:ahLst/>
                            <a:cxnLst/>
                            <a:rect l="0" t="0" r="0" b="0"/>
                            <a:pathLst>
                              <a:path w="5811902" h="9144">
                                <a:moveTo>
                                  <a:pt x="0" y="0"/>
                                </a:moveTo>
                                <a:lnTo>
                                  <a:pt x="5811902" y="0"/>
                                </a:lnTo>
                                <a:lnTo>
                                  <a:pt x="5811902" y="9144"/>
                                </a:lnTo>
                                <a:lnTo>
                                  <a:pt x="0" y="914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75" name="Shape 37875"/>
                        <wps:cNvSpPr/>
                        <wps:spPr>
                          <a:xfrm>
                            <a:off x="5943041" y="32003"/>
                            <a:ext cx="18288" cy="67056"/>
                          </a:xfrm>
                          <a:custGeom>
                            <a:avLst/>
                            <a:gdLst/>
                            <a:ahLst/>
                            <a:cxnLst/>
                            <a:rect l="0" t="0" r="0" b="0"/>
                            <a:pathLst>
                              <a:path w="18288" h="67056">
                                <a:moveTo>
                                  <a:pt x="0" y="0"/>
                                </a:moveTo>
                                <a:lnTo>
                                  <a:pt x="18288" y="0"/>
                                </a:lnTo>
                                <a:lnTo>
                                  <a:pt x="18288" y="67056"/>
                                </a:lnTo>
                                <a:lnTo>
                                  <a:pt x="0" y="67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6" name="Shape 37876"/>
                        <wps:cNvSpPr/>
                        <wps:spPr>
                          <a:xfrm>
                            <a:off x="5895798" y="32003"/>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7" name="Shape 37877"/>
                        <wps:cNvSpPr/>
                        <wps:spPr>
                          <a:xfrm>
                            <a:off x="5895798" y="79247"/>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8" name="Shape 37878"/>
                        <wps:cNvSpPr/>
                        <wps:spPr>
                          <a:xfrm>
                            <a:off x="5895798" y="79247"/>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79" name="Shape 37879"/>
                        <wps:cNvSpPr/>
                        <wps:spPr>
                          <a:xfrm>
                            <a:off x="51816" y="7271969"/>
                            <a:ext cx="5877433" cy="9144"/>
                          </a:xfrm>
                          <a:custGeom>
                            <a:avLst/>
                            <a:gdLst/>
                            <a:ahLst/>
                            <a:cxnLst/>
                            <a:rect l="0" t="0" r="0" b="0"/>
                            <a:pathLst>
                              <a:path w="5877433" h="9144">
                                <a:moveTo>
                                  <a:pt x="0" y="0"/>
                                </a:moveTo>
                                <a:lnTo>
                                  <a:pt x="5877433" y="0"/>
                                </a:lnTo>
                                <a:lnTo>
                                  <a:pt x="5877433" y="9144"/>
                                </a:lnTo>
                                <a:lnTo>
                                  <a:pt x="0" y="9144"/>
                                </a:lnTo>
                                <a:lnTo>
                                  <a:pt x="0" y="0"/>
                                </a:lnTo>
                              </a:path>
                            </a:pathLst>
                          </a:custGeom>
                          <a:ln w="0" cap="flat">
                            <a:miter lim="127000"/>
                          </a:ln>
                        </wps:spPr>
                        <wps:style>
                          <a:lnRef idx="0">
                            <a:srgbClr val="000000">
                              <a:alpha val="0"/>
                            </a:srgbClr>
                          </a:lnRef>
                          <a:fillRef idx="1">
                            <a:srgbClr val="FBF5EB"/>
                          </a:fillRef>
                          <a:effectRef idx="0">
                            <a:scrgbClr r="0" g="0" b="0"/>
                          </a:effectRef>
                          <a:fontRef idx="none"/>
                        </wps:style>
                        <wps:bodyPr/>
                      </wps:wsp>
                      <wps:wsp>
                        <wps:cNvPr id="37880" name="Shape 37880"/>
                        <wps:cNvSpPr/>
                        <wps:spPr>
                          <a:xfrm>
                            <a:off x="65532" y="99136"/>
                            <a:ext cx="18288" cy="7174357"/>
                          </a:xfrm>
                          <a:custGeom>
                            <a:avLst/>
                            <a:gdLst/>
                            <a:ahLst/>
                            <a:cxnLst/>
                            <a:rect l="0" t="0" r="0" b="0"/>
                            <a:pathLst>
                              <a:path w="18288" h="7174357">
                                <a:moveTo>
                                  <a:pt x="0" y="0"/>
                                </a:moveTo>
                                <a:lnTo>
                                  <a:pt x="18288" y="0"/>
                                </a:lnTo>
                                <a:lnTo>
                                  <a:pt x="18288" y="7174357"/>
                                </a:lnTo>
                                <a:lnTo>
                                  <a:pt x="0" y="71743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1" name="Shape 37881"/>
                        <wps:cNvSpPr/>
                        <wps:spPr>
                          <a:xfrm>
                            <a:off x="18288" y="99136"/>
                            <a:ext cx="9144" cy="7174357"/>
                          </a:xfrm>
                          <a:custGeom>
                            <a:avLst/>
                            <a:gdLst/>
                            <a:ahLst/>
                            <a:cxnLst/>
                            <a:rect l="0" t="0" r="0" b="0"/>
                            <a:pathLst>
                              <a:path w="9144" h="7174357">
                                <a:moveTo>
                                  <a:pt x="0" y="0"/>
                                </a:moveTo>
                                <a:lnTo>
                                  <a:pt x="9144" y="0"/>
                                </a:lnTo>
                                <a:lnTo>
                                  <a:pt x="9144" y="7174357"/>
                                </a:lnTo>
                                <a:lnTo>
                                  <a:pt x="0" y="71743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2" name="Shape 37882"/>
                        <wps:cNvSpPr/>
                        <wps:spPr>
                          <a:xfrm>
                            <a:off x="18288" y="7273493"/>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3" name="Shape 37883"/>
                        <wps:cNvSpPr/>
                        <wps:spPr>
                          <a:xfrm>
                            <a:off x="18288" y="7320737"/>
                            <a:ext cx="65532" cy="18288"/>
                          </a:xfrm>
                          <a:custGeom>
                            <a:avLst/>
                            <a:gdLst/>
                            <a:ahLst/>
                            <a:cxnLst/>
                            <a:rect l="0" t="0" r="0" b="0"/>
                            <a:pathLst>
                              <a:path w="65532" h="18288">
                                <a:moveTo>
                                  <a:pt x="0" y="0"/>
                                </a:moveTo>
                                <a:lnTo>
                                  <a:pt x="65532" y="0"/>
                                </a:lnTo>
                                <a:lnTo>
                                  <a:pt x="655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4" name="Shape 37884"/>
                        <wps:cNvSpPr/>
                        <wps:spPr>
                          <a:xfrm>
                            <a:off x="65532" y="72734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5" name="Shape 37885"/>
                        <wps:cNvSpPr/>
                        <wps:spPr>
                          <a:xfrm>
                            <a:off x="83820" y="7320737"/>
                            <a:ext cx="5811902" cy="18288"/>
                          </a:xfrm>
                          <a:custGeom>
                            <a:avLst/>
                            <a:gdLst/>
                            <a:ahLst/>
                            <a:cxnLst/>
                            <a:rect l="0" t="0" r="0" b="0"/>
                            <a:pathLst>
                              <a:path w="5811902" h="18288">
                                <a:moveTo>
                                  <a:pt x="0" y="0"/>
                                </a:moveTo>
                                <a:lnTo>
                                  <a:pt x="5811902" y="0"/>
                                </a:lnTo>
                                <a:lnTo>
                                  <a:pt x="581190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6" name="Shape 37886"/>
                        <wps:cNvSpPr/>
                        <wps:spPr>
                          <a:xfrm>
                            <a:off x="83820" y="7273493"/>
                            <a:ext cx="5811902" cy="9144"/>
                          </a:xfrm>
                          <a:custGeom>
                            <a:avLst/>
                            <a:gdLst/>
                            <a:ahLst/>
                            <a:cxnLst/>
                            <a:rect l="0" t="0" r="0" b="0"/>
                            <a:pathLst>
                              <a:path w="5811902" h="9144">
                                <a:moveTo>
                                  <a:pt x="0" y="0"/>
                                </a:moveTo>
                                <a:lnTo>
                                  <a:pt x="5811902" y="0"/>
                                </a:lnTo>
                                <a:lnTo>
                                  <a:pt x="5811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7" name="Shape 37887"/>
                        <wps:cNvSpPr/>
                        <wps:spPr>
                          <a:xfrm>
                            <a:off x="5943041" y="99136"/>
                            <a:ext cx="18288" cy="7174357"/>
                          </a:xfrm>
                          <a:custGeom>
                            <a:avLst/>
                            <a:gdLst/>
                            <a:ahLst/>
                            <a:cxnLst/>
                            <a:rect l="0" t="0" r="0" b="0"/>
                            <a:pathLst>
                              <a:path w="18288" h="7174357">
                                <a:moveTo>
                                  <a:pt x="0" y="0"/>
                                </a:moveTo>
                                <a:lnTo>
                                  <a:pt x="18288" y="0"/>
                                </a:lnTo>
                                <a:lnTo>
                                  <a:pt x="18288" y="7174357"/>
                                </a:lnTo>
                                <a:lnTo>
                                  <a:pt x="0" y="71743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8" name="Shape 37888"/>
                        <wps:cNvSpPr/>
                        <wps:spPr>
                          <a:xfrm>
                            <a:off x="5895798" y="99136"/>
                            <a:ext cx="9144" cy="7174357"/>
                          </a:xfrm>
                          <a:custGeom>
                            <a:avLst/>
                            <a:gdLst/>
                            <a:ahLst/>
                            <a:cxnLst/>
                            <a:rect l="0" t="0" r="0" b="0"/>
                            <a:pathLst>
                              <a:path w="9144" h="7174357">
                                <a:moveTo>
                                  <a:pt x="0" y="0"/>
                                </a:moveTo>
                                <a:lnTo>
                                  <a:pt x="9144" y="0"/>
                                </a:lnTo>
                                <a:lnTo>
                                  <a:pt x="9144" y="7174357"/>
                                </a:lnTo>
                                <a:lnTo>
                                  <a:pt x="0" y="71743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89" name="Shape 37889"/>
                        <wps:cNvSpPr/>
                        <wps:spPr>
                          <a:xfrm>
                            <a:off x="5943041" y="7273493"/>
                            <a:ext cx="18288" cy="65532"/>
                          </a:xfrm>
                          <a:custGeom>
                            <a:avLst/>
                            <a:gdLst/>
                            <a:ahLst/>
                            <a:cxnLst/>
                            <a:rect l="0" t="0" r="0" b="0"/>
                            <a:pathLst>
                              <a:path w="18288" h="65532">
                                <a:moveTo>
                                  <a:pt x="0" y="0"/>
                                </a:moveTo>
                                <a:lnTo>
                                  <a:pt x="18288" y="0"/>
                                </a:lnTo>
                                <a:lnTo>
                                  <a:pt x="18288" y="65532"/>
                                </a:lnTo>
                                <a:lnTo>
                                  <a:pt x="0" y="65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90" name="Shape 37890"/>
                        <wps:cNvSpPr/>
                        <wps:spPr>
                          <a:xfrm>
                            <a:off x="5895798" y="7320737"/>
                            <a:ext cx="65532" cy="18288"/>
                          </a:xfrm>
                          <a:custGeom>
                            <a:avLst/>
                            <a:gdLst/>
                            <a:ahLst/>
                            <a:cxnLst/>
                            <a:rect l="0" t="0" r="0" b="0"/>
                            <a:pathLst>
                              <a:path w="65532" h="18288">
                                <a:moveTo>
                                  <a:pt x="0" y="0"/>
                                </a:moveTo>
                                <a:lnTo>
                                  <a:pt x="65532" y="0"/>
                                </a:lnTo>
                                <a:lnTo>
                                  <a:pt x="655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91" name="Shape 37891"/>
                        <wps:cNvSpPr/>
                        <wps:spPr>
                          <a:xfrm>
                            <a:off x="5895798" y="72734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5581" style="width:470.95pt;height:577.876pt;position:absolute;z-index:-2147483507;mso-position-horizontal-relative:text;mso-position-horizontal:absolute;margin-left:-1.44pt;mso-position-vertical-relative:text;margin-top:-268.867pt;" coordsize="59810,73390">
                <v:shape id="Shape 37892" style="position:absolute;width:59810;height:91;left:0;top:0;" coordsize="5981065,9144" path="m0,0l5981065,0l5981065,9144l0,9144l0,0">
                  <v:stroke weight="0pt" endcap="flat" joinstyle="miter" miterlimit="10" on="false" color="#000000" opacity="0"/>
                  <v:fill on="true" color="#ffc000"/>
                </v:shape>
                <v:shape id="Shape 37893" style="position:absolute;width:58103;height:71743;left:853;top:991;" coordsize="5810377,7174357" path="m0,0l5810377,0l5810377,7174357l0,7174357l0,0">
                  <v:stroke weight="0pt" endcap="flat" joinstyle="miter" miterlimit="10" on="false" color="#000000" opacity="0"/>
                  <v:fill on="true" color="#fbf5eb"/>
                </v:shape>
                <v:shape id="Shape 37894" style="position:absolute;width:57402;height:1629;left:1203;top:991;" coordsize="5740274,162992" path="m0,0l5740274,0l5740274,162992l0,162992l0,0">
                  <v:stroke weight="0pt" endcap="flat" joinstyle="miter" miterlimit="10" on="false" color="#000000" opacity="0"/>
                  <v:fill on="true" color="#fbf5eb"/>
                </v:shape>
                <v:shape id="Shape 37895" style="position:absolute;width:57402;height:1569;left:1203;top:2621;" coordsize="5740274,156972" path="m0,0l5740274,0l5740274,156972l0,156972l0,0">
                  <v:stroke weight="0pt" endcap="flat" joinstyle="miter" miterlimit="10" on="false" color="#000000" opacity="0"/>
                  <v:fill on="true" color="#fbf5eb"/>
                </v:shape>
                <v:shape id="Shape 37896" style="position:absolute;width:57402;height:1569;left:1203;top:4190;" coordsize="5740274,156972" path="m0,0l5740274,0l5740274,156972l0,156972l0,0">
                  <v:stroke weight="0pt" endcap="flat" joinstyle="miter" miterlimit="10" on="false" color="#000000" opacity="0"/>
                  <v:fill on="true" color="#fbf5eb"/>
                </v:shape>
                <v:shape id="Shape 37897" style="position:absolute;width:57402;height:1600;left:1203;top:5760;" coordsize="5740274,160020" path="m0,0l5740274,0l5740274,160020l0,160020l0,0">
                  <v:stroke weight="0pt" endcap="flat" joinstyle="miter" miterlimit="10" on="false" color="#000000" opacity="0"/>
                  <v:fill on="true" color="#fbf5eb"/>
                </v:shape>
                <v:shape id="Shape 37898" style="position:absolute;width:57402;height:1569;left:1203;top:7360;" coordsize="5740274,156972" path="m0,0l5740274,0l5740274,156972l0,156972l0,0">
                  <v:stroke weight="0pt" endcap="flat" joinstyle="miter" miterlimit="10" on="false" color="#000000" opacity="0"/>
                  <v:fill on="true" color="#fbf5eb"/>
                </v:shape>
                <v:shape id="Shape 37899" style="position:absolute;width:57402;height:1569;left:1203;top:8930;" coordsize="5740274,156972" path="m0,0l5740274,0l5740274,156972l0,156972l0,0">
                  <v:stroke weight="0pt" endcap="flat" joinstyle="miter" miterlimit="10" on="false" color="#000000" opacity="0"/>
                  <v:fill on="true" color="#fbf5eb"/>
                </v:shape>
                <v:shape id="Shape 37900" style="position:absolute;width:57402;height:3108;left:1203;top:10500;" coordsize="5740274,310896" path="m0,0l5740274,0l5740274,310896l0,310896l0,0">
                  <v:stroke weight="0pt" endcap="flat" joinstyle="miter" miterlimit="10" on="false" color="#000000" opacity="0"/>
                  <v:fill on="true" color="#fbf5eb"/>
                </v:shape>
                <v:shape id="Shape 37901" style="position:absolute;width:57402;height:1569;left:1203;top:13609;" coordsize="5740274,156972" path="m0,0l5740274,0l5740274,156972l0,156972l0,0">
                  <v:stroke weight="0pt" endcap="flat" joinstyle="miter" miterlimit="10" on="false" color="#000000" opacity="0"/>
                  <v:fill on="true" color="#fbf5eb"/>
                </v:shape>
                <v:shape id="Shape 37902" style="position:absolute;width:57402;height:3096;left:1203;top:15179;" coordsize="5740274,309676" path="m0,0l5740274,0l5740274,309676l0,309676l0,0">
                  <v:stroke weight="0pt" endcap="flat" joinstyle="miter" miterlimit="10" on="false" color="#000000" opacity="0"/>
                  <v:fill on="true" color="#fbf5eb"/>
                </v:shape>
                <v:shape id="Shape 37903" style="position:absolute;width:57402;height:1584;left:1203;top:18276;" coordsize="5740274,158496" path="m0,0l5740274,0l5740274,158496l0,158496l0,0">
                  <v:stroke weight="0pt" endcap="flat" joinstyle="miter" miterlimit="10" on="false" color="#000000" opacity="0"/>
                  <v:fill on="true" color="#fbf5eb"/>
                </v:shape>
                <v:shape id="Shape 37904" style="position:absolute;width:57402;height:3078;left:1203;top:19861;" coordsize="5740274,307848" path="m0,0l5740274,0l5740274,307848l0,307848l0,0">
                  <v:stroke weight="0pt" endcap="flat" joinstyle="miter" miterlimit="10" on="false" color="#000000" opacity="0"/>
                  <v:fill on="true" color="#fbf5eb"/>
                </v:shape>
                <v:shape id="Shape 37905" style="position:absolute;width:57402;height:1584;left:1203;top:22940;" coordsize="5740274,158496" path="m0,0l5740274,0l5740274,158496l0,158496l0,0">
                  <v:stroke weight="0pt" endcap="flat" joinstyle="miter" miterlimit="10" on="false" color="#000000" opacity="0"/>
                  <v:fill on="true" color="#fbf5eb"/>
                </v:shape>
                <v:shape id="Shape 37906" style="position:absolute;width:57402;height:3093;left:1203;top:24524;" coordsize="5740274,309372" path="m0,0l5740274,0l5740274,309372l0,309372l0,0">
                  <v:stroke weight="0pt" endcap="flat" joinstyle="miter" miterlimit="10" on="false" color="#000000" opacity="0"/>
                  <v:fill on="true" color="#fbf5eb"/>
                </v:shape>
                <v:shape id="Shape 37907" style="position:absolute;width:57402;height:1569;left:1203;top:27618;" coordsize="5740274,156972" path="m0,0l5740274,0l5740274,156972l0,156972l0,0">
                  <v:stroke weight="0pt" endcap="flat" joinstyle="miter" miterlimit="10" on="false" color="#000000" opacity="0"/>
                  <v:fill on="true" color="#fbf5eb"/>
                </v:shape>
                <v:shape id="Shape 37908" style="position:absolute;width:57402;height:1539;left:1203;top:29188;" coordsize="5740274,153924" path="m0,0l5740274,0l5740274,153924l0,153924l0,0">
                  <v:stroke weight="0pt" endcap="flat" joinstyle="miter" miterlimit="10" on="false" color="#000000" opacity="0"/>
                  <v:fill on="true" color="#fbf5eb"/>
                </v:shape>
                <v:shape id="Shape 37909" style="position:absolute;width:57402;height:3093;left:1203;top:30727;" coordsize="5740274,309372" path="m0,0l5740274,0l5740274,309372l0,309372l0,0">
                  <v:stroke weight="0pt" endcap="flat" joinstyle="miter" miterlimit="10" on="false" color="#000000" opacity="0"/>
                  <v:fill on="true" color="#fbf5eb"/>
                </v:shape>
                <v:shape id="Shape 37910" style="position:absolute;width:57402;height:1584;left:1203;top:33821;" coordsize="5740274,158496" path="m0,0l5740274,0l5740274,158496l0,158496l0,0">
                  <v:stroke weight="0pt" endcap="flat" joinstyle="miter" miterlimit="10" on="false" color="#000000" opacity="0"/>
                  <v:fill on="true" color="#fbf5eb"/>
                </v:shape>
                <v:shape id="Shape 37911" style="position:absolute;width:57402;height:1539;left:1203;top:35406;" coordsize="5740274,153924" path="m0,0l5740274,0l5740274,153924l0,153924l0,0">
                  <v:stroke weight="0pt" endcap="flat" joinstyle="miter" miterlimit="10" on="false" color="#000000" opacity="0"/>
                  <v:fill on="true" color="#fbf5eb"/>
                </v:shape>
                <v:shape id="Shape 37912" style="position:absolute;width:57402;height:1539;left:1203;top:36945;" coordsize="5740274,153924" path="m0,0l5740274,0l5740274,153924l0,153924l0,0">
                  <v:stroke weight="0pt" endcap="flat" joinstyle="miter" miterlimit="10" on="false" color="#000000" opacity="0"/>
                  <v:fill on="true" color="#fbf5eb"/>
                </v:shape>
                <v:shape id="Shape 37913" style="position:absolute;width:57402;height:3081;left:1203;top:38484;" coordsize="5740274,308153" path="m0,0l5740274,0l5740274,308153l0,308153l0,0">
                  <v:stroke weight="0pt" endcap="flat" joinstyle="miter" miterlimit="10" on="false" color="#000000" opacity="0"/>
                  <v:fill on="true" color="#fbf5eb"/>
                </v:shape>
                <v:shape id="Shape 37914" style="position:absolute;width:57402;height:1584;left:1203;top:41565;" coordsize="5740274,158496" path="m0,0l5740274,0l5740274,158496l0,158496l0,0">
                  <v:stroke weight="0pt" endcap="flat" joinstyle="miter" miterlimit="10" on="false" color="#000000" opacity="0"/>
                  <v:fill on="true" color="#fbf5eb"/>
                </v:shape>
                <v:shape id="Shape 37915" style="position:absolute;width:57402;height:1539;left:1203;top:43150;" coordsize="5740274,153924" path="m0,0l5740274,0l5740274,153924l0,153924l0,0">
                  <v:stroke weight="0pt" endcap="flat" joinstyle="miter" miterlimit="10" on="false" color="#000000" opacity="0"/>
                  <v:fill on="true" color="#fbf5eb"/>
                </v:shape>
                <v:shape id="Shape 37916" style="position:absolute;width:57402;height:3093;left:1203;top:44690;" coordsize="5740274,309372" path="m0,0l5740274,0l5740274,309372l0,309372l0,0">
                  <v:stroke weight="0pt" endcap="flat" joinstyle="miter" miterlimit="10" on="false" color="#000000" opacity="0"/>
                  <v:fill on="true" color="#fbf5eb"/>
                </v:shape>
                <v:shape id="Shape 37917" style="position:absolute;width:57402;height:1569;left:1203;top:47783;" coordsize="5740274,156972" path="m0,0l5740274,0l5740274,156972l0,156972l0,0">
                  <v:stroke weight="0pt" endcap="flat" joinstyle="miter" miterlimit="10" on="false" color="#000000" opacity="0"/>
                  <v:fill on="true" color="#fbf5eb"/>
                </v:shape>
                <v:shape id="Shape 37918" style="position:absolute;width:57402;height:1539;left:1203;top:49353;" coordsize="5740274,153924" path="m0,0l5740274,0l5740274,153924l0,153924l0,0">
                  <v:stroke weight="0pt" endcap="flat" joinstyle="miter" miterlimit="10" on="false" color="#000000" opacity="0"/>
                  <v:fill on="true" color="#fbf5eb"/>
                </v:shape>
                <v:shape id="Shape 37919" style="position:absolute;width:57402;height:3063;left:1203;top:50892;" coordsize="5740274,306324" path="m0,0l5740274,0l5740274,306324l0,306324l0,0">
                  <v:stroke weight="0pt" endcap="flat" joinstyle="miter" miterlimit="10" on="false" color="#000000" opacity="0"/>
                  <v:fill on="true" color="#fbf5eb"/>
                </v:shape>
                <v:shape id="Shape 37920" style="position:absolute;width:57402;height:1630;left:1203;top:53955;" coordsize="5740274,163068" path="m0,0l5740274,0l5740274,163068l0,163068l0,0">
                  <v:stroke weight="0pt" endcap="flat" joinstyle="miter" miterlimit="10" on="false" color="#000000" opacity="0"/>
                  <v:fill on="true" color="#fbf5eb"/>
                </v:shape>
                <v:shape id="Shape 37921" style="position:absolute;width:57402;height:1630;left:1203;top:55586;" coordsize="5740274,163068" path="m0,0l5740274,0l5740274,163068l0,163068l0,0">
                  <v:stroke weight="0pt" endcap="flat" joinstyle="miter" miterlimit="10" on="false" color="#000000" opacity="0"/>
                  <v:fill on="true" color="#fbf5eb"/>
                </v:shape>
                <v:shape id="Shape 37922" style="position:absolute;width:57402;height:1584;left:1203;top:57217;" coordsize="5740274,158496" path="m0,0l5740274,0l5740274,158496l0,158496l0,0">
                  <v:stroke weight="0pt" endcap="flat" joinstyle="miter" miterlimit="10" on="false" color="#000000" opacity="0"/>
                  <v:fill on="true" color="#fbf5eb"/>
                </v:shape>
                <v:shape id="Shape 37923" style="position:absolute;width:6370;height:91;left:49707;top:58619;" coordsize="637032,9144" path="m0,0l637032,0l637032,9144l0,9144l0,0">
                  <v:stroke weight="0pt" endcap="flat" joinstyle="miter" miterlimit="10" on="false" color="#000000" opacity="0"/>
                  <v:fill on="true" color="#2c2c2c"/>
                </v:shape>
                <v:shape id="Shape 37924" style="position:absolute;width:57402;height:1554;left:1203;top:58802;" coordsize="5740274,155448" path="m0,0l5740274,0l5740274,155448l0,155448l0,0">
                  <v:stroke weight="0pt" endcap="flat" joinstyle="miter" miterlimit="10" on="false" color="#000000" opacity="0"/>
                  <v:fill on="true" color="#fbf5eb"/>
                </v:shape>
                <v:shape id="Shape 37925" style="position:absolute;width:57402;height:1572;left:1203;top:60357;" coordsize="5740274,157276" path="m0,0l5740274,0l5740274,157276l0,157276l0,0">
                  <v:stroke weight="0pt" endcap="flat" joinstyle="miter" miterlimit="10" on="false" color="#000000" opacity="0"/>
                  <v:fill on="true" color="#fbf5eb"/>
                </v:shape>
                <v:shape id="Shape 37926" style="position:absolute;width:57402;height:1539;left:1203;top:61930;" coordsize="5740274,153924" path="m0,0l5740274,0l5740274,153924l0,153924l0,0">
                  <v:stroke weight="0pt" endcap="flat" joinstyle="miter" miterlimit="10" on="false" color="#000000" opacity="0"/>
                  <v:fill on="true" color="#fbf5eb"/>
                </v:shape>
                <v:shape id="Shape 37927" style="position:absolute;width:57402;height:1584;left:1203;top:63469;" coordsize="5740274,158496" path="m0,0l5740274,0l5740274,158496l0,158496l0,0">
                  <v:stroke weight="0pt" endcap="flat" joinstyle="miter" miterlimit="10" on="false" color="#000000" opacity="0"/>
                  <v:fill on="true" color="#fbf5eb"/>
                </v:shape>
                <v:shape id="Shape 37928" style="position:absolute;width:57402;height:1524;left:1203;top:65054;" coordsize="5740274,152400" path="m0,0l5740274,0l5740274,152400l0,152400l0,0">
                  <v:stroke weight="0pt" endcap="flat" joinstyle="miter" miterlimit="10" on="false" color="#000000" opacity="0"/>
                  <v:fill on="true" color="#fbf5eb"/>
                </v:shape>
                <v:shape id="Shape 37929" style="position:absolute;width:57402;height:1539;left:1203;top:66578;" coordsize="5740274,153924" path="m0,0l5740274,0l5740274,153924l0,153924l0,0">
                  <v:stroke weight="0pt" endcap="flat" joinstyle="miter" miterlimit="10" on="false" color="#000000" opacity="0"/>
                  <v:fill on="true" color="#fbf5eb"/>
                </v:shape>
                <v:shape id="Shape 37930" style="position:absolute;width:57402;height:1539;left:1203;top:68117;" coordsize="5740274,153924" path="m0,0l5740274,0l5740274,153924l0,153924l0,0">
                  <v:stroke weight="0pt" endcap="flat" joinstyle="miter" miterlimit="10" on="false" color="#000000" opacity="0"/>
                  <v:fill on="true" color="#fbf5eb"/>
                </v:shape>
                <v:shape id="Shape 37931" style="position:absolute;width:57402;height:1539;left:1203;top:69656;" coordsize="5740274,153924" path="m0,0l5740274,0l5740274,153924l0,153924l0,0">
                  <v:stroke weight="0pt" endcap="flat" joinstyle="miter" miterlimit="10" on="false" color="#000000" opacity="0"/>
                  <v:fill on="true" color="#fbf5eb"/>
                </v:shape>
                <v:shape id="Shape 37932" style="position:absolute;width:57402;height:1539;left:1203;top:71195;" coordsize="5740274,153924" path="m0,0l5740274,0l5740274,153924l0,153924l0,0">
                  <v:stroke weight="0pt" endcap="flat" joinstyle="miter" miterlimit="10" on="false" color="#000000" opacity="0"/>
                  <v:fill on="true" color="#fbf5eb"/>
                </v:shape>
                <v:shape id="Shape 37933" style="position:absolute;width:91;height:670;left:182;top:320;" coordsize="9144,67056" path="m0,0l9144,0l9144,67056l0,67056l0,0">
                  <v:stroke weight="0pt" endcap="flat" joinstyle="miter" miterlimit="10" on="false" color="#000000" opacity="0"/>
                  <v:fill on="true" color="#000000"/>
                </v:shape>
                <v:shape id="Shape 37934" style="position:absolute;width:655;height:91;left:182;top:320;" coordsize="65532,9144" path="m0,0l65532,0l65532,9144l0,9144l0,0">
                  <v:stroke weight="0pt" endcap="flat" joinstyle="miter" miterlimit="10" on="false" color="#000000" opacity="0"/>
                  <v:fill on="true" color="#000000"/>
                </v:shape>
                <v:shape id="Shape 37935" style="position:absolute;width:182;height:198;left:655;top:792;" coordsize="18288,19812" path="m0,0l18288,0l18288,19812l0,19812l0,0">
                  <v:stroke weight="0pt" endcap="flat" joinstyle="miter" miterlimit="10" on="false" color="#000000" opacity="0"/>
                  <v:fill on="true" color="#000000"/>
                </v:shape>
                <v:shape id="Shape 37936" style="position:absolute;width:182;height:182;left:655;top:792;" coordsize="18288,18288" path="m0,0l18288,0l18288,18288l0,18288l0,0">
                  <v:stroke weight="0pt" endcap="flat" joinstyle="miter" miterlimit="10" on="false" color="#000000" opacity="0"/>
                  <v:fill on="true" color="#000000"/>
                </v:shape>
                <v:shape id="Shape 37937" style="position:absolute;width:58119;height:91;left:838;top:320;" coordsize="5811902,9144" path="m0,0l5811902,0l5811902,9144l0,9144l0,0">
                  <v:stroke weight="0pt" endcap="flat" joinstyle="miter" miterlimit="10" on="false" color="#000000" opacity="0"/>
                  <v:fill on="true" color="#000000"/>
                </v:shape>
                <v:shape id="Shape 37938" style="position:absolute;width:58119;height:182;left:838;top:792;" coordsize="5811902,18288" path="m0,0l5811902,0l5811902,18288l0,18288l0,0">
                  <v:stroke weight="0pt" endcap="flat" joinstyle="miter" miterlimit="10" on="false" color="#000000" opacity="0"/>
                  <v:fill on="true" color="#000000"/>
                </v:shape>
                <v:shape id="Shape 37939" style="position:absolute;width:58119;height:91;left:838;top:975;" coordsize="5811902,9144" path="m0,0l5811902,0l5811902,9144l0,9144l0,0">
                  <v:stroke weight="0pt" endcap="flat" joinstyle="miter" miterlimit="10" on="false" color="#000000" opacity="0"/>
                  <v:fill on="true" color="#fbf5eb"/>
                </v:shape>
                <v:shape id="Shape 37940" style="position:absolute;width:182;height:670;left:59430;top:320;" coordsize="18288,67056" path="m0,0l18288,0l18288,67056l0,67056l0,0">
                  <v:stroke weight="0pt" endcap="flat" joinstyle="miter" miterlimit="10" on="false" color="#000000" opacity="0"/>
                  <v:fill on="true" color="#000000"/>
                </v:shape>
                <v:shape id="Shape 37941" style="position:absolute;width:655;height:91;left:58957;top:320;" coordsize="65532,9144" path="m0,0l65532,0l65532,9144l0,9144l0,0">
                  <v:stroke weight="0pt" endcap="flat" joinstyle="miter" miterlimit="10" on="false" color="#000000" opacity="0"/>
                  <v:fill on="true" color="#000000"/>
                </v:shape>
                <v:shape id="Shape 37942" style="position:absolute;width:91;height:198;left:58957;top:792;" coordsize="9144,19812" path="m0,0l9144,0l9144,19812l0,19812l0,0">
                  <v:stroke weight="0pt" endcap="flat" joinstyle="miter" miterlimit="10" on="false" color="#000000" opacity="0"/>
                  <v:fill on="true" color="#000000"/>
                </v:shape>
                <v:shape id="Shape 37943" style="position:absolute;width:91;height:182;left:58957;top:792;" coordsize="9144,18288" path="m0,0l9144,0l9144,18288l0,18288l0,0">
                  <v:stroke weight="0pt" endcap="flat" joinstyle="miter" miterlimit="10" on="false" color="#000000" opacity="0"/>
                  <v:fill on="true" color="#000000"/>
                </v:shape>
                <v:shape id="Shape 37944" style="position:absolute;width:58774;height:91;left:518;top:72719;" coordsize="5877433,9144" path="m0,0l5877433,0l5877433,9144l0,9144l0,0">
                  <v:stroke weight="0pt" endcap="flat" joinstyle="miter" miterlimit="10" on="false" color="#000000" opacity="0"/>
                  <v:fill on="true" color="#fbf5eb"/>
                </v:shape>
                <v:shape id="Shape 37945" style="position:absolute;width:182;height:71743;left:655;top:991;" coordsize="18288,7174357" path="m0,0l18288,0l18288,7174357l0,7174357l0,0">
                  <v:stroke weight="0pt" endcap="flat" joinstyle="miter" miterlimit="10" on="false" color="#000000" opacity="0"/>
                  <v:fill on="true" color="#000000"/>
                </v:shape>
                <v:shape id="Shape 37946" style="position:absolute;width:91;height:71743;left:182;top:991;" coordsize="9144,7174357" path="m0,0l9144,0l9144,7174357l0,7174357l0,0">
                  <v:stroke weight="0pt" endcap="flat" joinstyle="miter" miterlimit="10" on="false" color="#000000" opacity="0"/>
                  <v:fill on="true" color="#000000"/>
                </v:shape>
                <v:shape id="Shape 37947" style="position:absolute;width:91;height:655;left:182;top:72734;" coordsize="9144,65532" path="m0,0l9144,0l9144,65532l0,65532l0,0">
                  <v:stroke weight="0pt" endcap="flat" joinstyle="miter" miterlimit="10" on="false" color="#000000" opacity="0"/>
                  <v:fill on="true" color="#000000"/>
                </v:shape>
                <v:shape id="Shape 37948" style="position:absolute;width:655;height:182;left:182;top:73207;" coordsize="65532,18288" path="m0,0l65532,0l65532,18288l0,18288l0,0">
                  <v:stroke weight="0pt" endcap="flat" joinstyle="miter" miterlimit="10" on="false" color="#000000" opacity="0"/>
                  <v:fill on="true" color="#000000"/>
                </v:shape>
                <v:shape id="Shape 37949" style="position:absolute;width:182;height:91;left:655;top:72734;" coordsize="18288,9144" path="m0,0l18288,0l18288,9144l0,9144l0,0">
                  <v:stroke weight="0pt" endcap="flat" joinstyle="miter" miterlimit="10" on="false" color="#000000" opacity="0"/>
                  <v:fill on="true" color="#000000"/>
                </v:shape>
                <v:shape id="Shape 37950" style="position:absolute;width:58119;height:182;left:838;top:73207;" coordsize="5811902,18288" path="m0,0l5811902,0l5811902,18288l0,18288l0,0">
                  <v:stroke weight="0pt" endcap="flat" joinstyle="miter" miterlimit="10" on="false" color="#000000" opacity="0"/>
                  <v:fill on="true" color="#000000"/>
                </v:shape>
                <v:shape id="Shape 37951" style="position:absolute;width:58119;height:91;left:838;top:72734;" coordsize="5811902,9144" path="m0,0l5811902,0l5811902,9144l0,9144l0,0">
                  <v:stroke weight="0pt" endcap="flat" joinstyle="miter" miterlimit="10" on="false" color="#000000" opacity="0"/>
                  <v:fill on="true" color="#000000"/>
                </v:shape>
                <v:shape id="Shape 37952" style="position:absolute;width:182;height:71743;left:59430;top:991;" coordsize="18288,7174357" path="m0,0l18288,0l18288,7174357l0,7174357l0,0">
                  <v:stroke weight="0pt" endcap="flat" joinstyle="miter" miterlimit="10" on="false" color="#000000" opacity="0"/>
                  <v:fill on="true" color="#000000"/>
                </v:shape>
                <v:shape id="Shape 37953" style="position:absolute;width:91;height:71743;left:58957;top:991;" coordsize="9144,7174357" path="m0,0l9144,0l9144,7174357l0,7174357l0,0">
                  <v:stroke weight="0pt" endcap="flat" joinstyle="miter" miterlimit="10" on="false" color="#000000" opacity="0"/>
                  <v:fill on="true" color="#000000"/>
                </v:shape>
                <v:shape id="Shape 37954" style="position:absolute;width:182;height:655;left:59430;top:72734;" coordsize="18288,65532" path="m0,0l18288,0l18288,65532l0,65532l0,0">
                  <v:stroke weight="0pt" endcap="flat" joinstyle="miter" miterlimit="10" on="false" color="#000000" opacity="0"/>
                  <v:fill on="true" color="#000000"/>
                </v:shape>
                <v:shape id="Shape 37955" style="position:absolute;width:655;height:182;left:58957;top:73207;" coordsize="65532,18288" path="m0,0l65532,0l65532,18288l0,18288l0,0">
                  <v:stroke weight="0pt" endcap="flat" joinstyle="miter" miterlimit="10" on="false" color="#000000" opacity="0"/>
                  <v:fill on="true" color="#000000"/>
                </v:shape>
                <v:shape id="Shape 37956" style="position:absolute;width:91;height:91;left:58957;top:72734;" coordsize="9144,9144" path="m0,0l9144,0l9144,9144l0,9144l0,0">
                  <v:stroke weight="0pt" endcap="flat" joinstyle="miter" miterlimit="10" on="false" color="#000000" opacity="0"/>
                  <v:fill on="true" color="#000000"/>
                </v:shape>
              </v:group>
            </w:pict>
          </mc:Fallback>
        </mc:AlternateContent>
      </w:r>
      <w:r>
        <w:rPr>
          <w:b/>
          <w:color w:val="2C2C2C"/>
          <w:sz w:val="21"/>
        </w:rPr>
        <w:t>WHEREAS</w:t>
      </w:r>
      <w:r>
        <w:rPr>
          <w:rFonts w:ascii="Calisto MT" w:eastAsia="Calisto MT" w:hAnsi="Calisto MT" w:cs="Calisto MT"/>
          <w:color w:val="2C2C2C"/>
          <w:sz w:val="21"/>
        </w:rPr>
        <w:t xml:space="preserve">, accessory dwelling units provide families with options for intergenerational living arrangements that enable child or elder care and aging in place, and accessory dwelling units enable seniors to downsize, move into accessible units, or live with family or a caregiver while remaining in their communities; </w:t>
      </w:r>
      <w:r>
        <w:rPr>
          <w:rFonts w:ascii="Calisto MT" w:eastAsia="Calisto MT" w:hAnsi="Calisto MT" w:cs="Calisto MT"/>
          <w:i/>
          <w:color w:val="2C2C2C"/>
          <w:sz w:val="21"/>
        </w:rPr>
        <w:t xml:space="preserve">and </w:t>
      </w:r>
    </w:p>
    <w:p w14:paraId="6A0DE3DA" w14:textId="77777777" w:rsidR="00736494" w:rsidRDefault="009156A5">
      <w:pPr>
        <w:spacing w:after="243" w:line="249" w:lineRule="auto"/>
        <w:ind w:left="146" w:right="145" w:firstLine="710"/>
        <w:jc w:val="both"/>
      </w:pPr>
      <w:r>
        <w:rPr>
          <w:b/>
          <w:color w:val="2C2C2C"/>
          <w:sz w:val="21"/>
        </w:rPr>
        <w:lastRenderedPageBreak/>
        <w:t>WHEREAS</w:t>
      </w:r>
      <w:r>
        <w:rPr>
          <w:rFonts w:ascii="Calisto MT" w:eastAsia="Calisto MT" w:hAnsi="Calisto MT" w:cs="Calisto MT"/>
          <w:color w:val="2C2C2C"/>
          <w:sz w:val="21"/>
        </w:rPr>
        <w:t xml:space="preserve">, accessory dwelling units can provide rental income to help a variety of residents, such as older homeowners on fixed incomes, first-time homebuyers, and low- and moderate-income homeowners; </w:t>
      </w:r>
      <w:r>
        <w:rPr>
          <w:rFonts w:ascii="Calisto MT" w:eastAsia="Calisto MT" w:hAnsi="Calisto MT" w:cs="Calisto MT"/>
          <w:i/>
          <w:color w:val="2C2C2C"/>
          <w:sz w:val="21"/>
        </w:rPr>
        <w:t>and</w:t>
      </w:r>
      <w:r>
        <w:rPr>
          <w:rFonts w:ascii="Calisto MT" w:eastAsia="Calisto MT" w:hAnsi="Calisto MT" w:cs="Calisto MT"/>
          <w:color w:val="2C2C2C"/>
          <w:sz w:val="21"/>
        </w:rPr>
        <w:t xml:space="preserve"> </w:t>
      </w:r>
    </w:p>
    <w:p w14:paraId="31EB1390" w14:textId="77777777" w:rsidR="00736494" w:rsidRDefault="009156A5">
      <w:pPr>
        <w:spacing w:after="243" w:line="249" w:lineRule="auto"/>
        <w:ind w:left="146" w:right="145" w:firstLine="710"/>
        <w:jc w:val="both"/>
      </w:pPr>
      <w:r>
        <w:rPr>
          <w:b/>
          <w:color w:val="2C2C2C"/>
          <w:sz w:val="21"/>
        </w:rPr>
        <w:t>WHEREAS</w:t>
      </w:r>
      <w:r>
        <w:rPr>
          <w:rFonts w:ascii="Calisto MT" w:eastAsia="Calisto MT" w:hAnsi="Calisto MT" w:cs="Calisto MT"/>
          <w:color w:val="2C2C2C"/>
          <w:sz w:val="21"/>
        </w:rPr>
        <w:t xml:space="preserve">, our community can benefit from the creation of accessory dwellings on residential properties, which can provide employee housing, more affordable housing, housing for the aging, housing for young adults, and housing for multi-generational households on the same lot. </w:t>
      </w:r>
    </w:p>
    <w:p w14:paraId="225A4E56" w14:textId="77777777" w:rsidR="00736494" w:rsidRDefault="009156A5">
      <w:pPr>
        <w:spacing w:after="0"/>
        <w:ind w:left="161"/>
      </w:pPr>
      <w:r>
        <w:rPr>
          <w:rFonts w:ascii="Corbel" w:eastAsia="Corbel" w:hAnsi="Corbel" w:cs="Corbel"/>
          <w:b/>
          <w:color w:val="2C2C2C"/>
          <w:sz w:val="21"/>
        </w:rPr>
        <w:t xml:space="preserve"> </w:t>
      </w:r>
    </w:p>
    <w:p w14:paraId="7D7BF69B" w14:textId="77777777" w:rsidR="00736494" w:rsidRDefault="009156A5">
      <w:pPr>
        <w:spacing w:after="0"/>
        <w:ind w:left="881"/>
      </w:pPr>
      <w:r>
        <w:rPr>
          <w:rFonts w:ascii="Corbel" w:eastAsia="Corbel" w:hAnsi="Corbel" w:cs="Corbel"/>
          <w:b/>
          <w:color w:val="2C2C2C"/>
          <w:sz w:val="21"/>
        </w:rPr>
        <w:t xml:space="preserve"> </w:t>
      </w:r>
    </w:p>
    <w:p w14:paraId="17B08F73" w14:textId="77777777" w:rsidR="00736494" w:rsidRDefault="009156A5">
      <w:pPr>
        <w:tabs>
          <w:tab w:val="center" w:pos="4312"/>
          <w:tab w:val="center" w:pos="8082"/>
        </w:tabs>
        <w:spacing w:after="9" w:line="249" w:lineRule="auto"/>
      </w:pPr>
      <w:r>
        <w:tab/>
      </w:r>
      <w:r>
        <w:rPr>
          <w:b/>
          <w:color w:val="2C2C2C"/>
          <w:sz w:val="21"/>
        </w:rPr>
        <w:t>NOW, THEREFORE,</w:t>
      </w:r>
      <w:r>
        <w:rPr>
          <w:rFonts w:ascii="Calisto MT" w:eastAsia="Calisto MT" w:hAnsi="Calisto MT" w:cs="Calisto MT"/>
          <w:color w:val="2C2C2C"/>
          <w:sz w:val="21"/>
        </w:rPr>
        <w:t xml:space="preserve"> based upon the foregoing, be it hereby ordered by the  </w:t>
      </w:r>
      <w:r>
        <w:rPr>
          <w:rFonts w:ascii="Calisto MT" w:eastAsia="Calisto MT" w:hAnsi="Calisto MT" w:cs="Calisto MT"/>
          <w:color w:val="2C2C2C"/>
          <w:sz w:val="21"/>
        </w:rPr>
        <w:tab/>
        <w:t xml:space="preserve"> </w:t>
      </w:r>
    </w:p>
    <w:p w14:paraId="6B7BDB0F" w14:textId="77777777" w:rsidR="00736494" w:rsidRDefault="009156A5">
      <w:pPr>
        <w:tabs>
          <w:tab w:val="center" w:pos="2378"/>
          <w:tab w:val="center" w:pos="4481"/>
          <w:tab w:val="center" w:pos="5202"/>
          <w:tab w:val="center" w:pos="5922"/>
          <w:tab w:val="right" w:pos="9354"/>
        </w:tabs>
        <w:spacing w:after="8"/>
      </w:pPr>
      <w:r>
        <w:rPr>
          <w:rFonts w:ascii="Calisto MT" w:eastAsia="Calisto MT" w:hAnsi="Calisto MT" w:cs="Calisto MT"/>
          <w:color w:val="2C2C2C"/>
          <w:sz w:val="21"/>
          <w:u w:val="single" w:color="2C2C2C"/>
        </w:rPr>
        <w:t xml:space="preserve"> </w:t>
      </w:r>
      <w:r>
        <w:rPr>
          <w:rFonts w:ascii="Calisto MT" w:eastAsia="Calisto MT" w:hAnsi="Calisto MT" w:cs="Calisto MT"/>
          <w:color w:val="2C2C2C"/>
          <w:sz w:val="21"/>
          <w:u w:val="single" w:color="2C2C2C"/>
        </w:rPr>
        <w:tab/>
        <w:t>(</w:t>
      </w:r>
      <w:r>
        <w:rPr>
          <w:rFonts w:ascii="Calisto MT" w:eastAsia="Calisto MT" w:hAnsi="Calisto MT" w:cs="Calisto MT"/>
          <w:i/>
          <w:color w:val="2C2C2C"/>
          <w:sz w:val="21"/>
          <w:u w:val="single" w:color="2C2C2C"/>
        </w:rPr>
        <w:t>town council/county commissioners</w:t>
      </w:r>
      <w:r>
        <w:rPr>
          <w:rFonts w:ascii="Calisto MT" w:eastAsia="Calisto MT" w:hAnsi="Calisto MT" w:cs="Calisto MT"/>
          <w:color w:val="2C2C2C"/>
          <w:sz w:val="21"/>
          <w:u w:val="single" w:color="2C2C2C"/>
        </w:rPr>
        <w:t xml:space="preserve">) </w:t>
      </w:r>
      <w:r>
        <w:rPr>
          <w:rFonts w:ascii="Calisto MT" w:eastAsia="Calisto MT" w:hAnsi="Calisto MT" w:cs="Calisto MT"/>
          <w:color w:val="2C2C2C"/>
          <w:sz w:val="21"/>
          <w:u w:val="single" w:color="2C2C2C"/>
        </w:rPr>
        <w:tab/>
        <w:t xml:space="preserve"> </w:t>
      </w:r>
      <w:r>
        <w:rPr>
          <w:rFonts w:ascii="Calisto MT" w:eastAsia="Calisto MT" w:hAnsi="Calisto MT" w:cs="Calisto MT"/>
          <w:color w:val="2C2C2C"/>
          <w:sz w:val="21"/>
          <w:u w:val="single" w:color="2C2C2C"/>
        </w:rPr>
        <w:tab/>
        <w:t xml:space="preserve"> </w:t>
      </w:r>
      <w:r>
        <w:rPr>
          <w:rFonts w:ascii="Calisto MT" w:eastAsia="Calisto MT" w:hAnsi="Calisto MT" w:cs="Calisto MT"/>
          <w:color w:val="2C2C2C"/>
          <w:sz w:val="21"/>
          <w:u w:val="single" w:color="2C2C2C"/>
        </w:rPr>
        <w:tab/>
        <w:t xml:space="preserve"> </w:t>
      </w:r>
      <w:r>
        <w:rPr>
          <w:rFonts w:ascii="Calisto MT" w:eastAsia="Calisto MT" w:hAnsi="Calisto MT" w:cs="Calisto MT"/>
          <w:color w:val="2C2C2C"/>
          <w:sz w:val="21"/>
          <w:u w:val="single" w:color="2C2C2C"/>
        </w:rPr>
        <w:tab/>
      </w:r>
      <w:r>
        <w:rPr>
          <w:rFonts w:ascii="Calisto MT" w:eastAsia="Calisto MT" w:hAnsi="Calisto MT" w:cs="Calisto MT"/>
          <w:color w:val="2C2C2C"/>
          <w:sz w:val="21"/>
        </w:rPr>
        <w:t xml:space="preserve"> that the Zoning Code for  </w:t>
      </w:r>
    </w:p>
    <w:p w14:paraId="098FB5B4" w14:textId="77777777" w:rsidR="00736494" w:rsidRDefault="009156A5">
      <w:pPr>
        <w:tabs>
          <w:tab w:val="center" w:pos="881"/>
          <w:tab w:val="center" w:pos="1601"/>
          <w:tab w:val="center" w:pos="3181"/>
          <w:tab w:val="center" w:pos="4481"/>
          <w:tab w:val="center" w:pos="5202"/>
          <w:tab w:val="right" w:pos="9354"/>
        </w:tabs>
        <w:spacing w:after="9" w:line="249" w:lineRule="auto"/>
      </w:pPr>
      <w:r>
        <w:rPr>
          <w:rFonts w:ascii="Calisto MT" w:eastAsia="Calisto MT" w:hAnsi="Calisto MT" w:cs="Calisto MT"/>
          <w:color w:val="2C2C2C"/>
          <w:sz w:val="21"/>
          <w:u w:val="single" w:color="2C2C2C"/>
        </w:rPr>
        <w:t xml:space="preserve"> </w:t>
      </w:r>
      <w:r>
        <w:rPr>
          <w:rFonts w:ascii="Calisto MT" w:eastAsia="Calisto MT" w:hAnsi="Calisto MT" w:cs="Calisto MT"/>
          <w:color w:val="2C2C2C"/>
          <w:sz w:val="21"/>
          <w:u w:val="single" w:color="2C2C2C"/>
        </w:rPr>
        <w:tab/>
        <w:t xml:space="preserve"> </w:t>
      </w:r>
      <w:r>
        <w:rPr>
          <w:rFonts w:ascii="Calisto MT" w:eastAsia="Calisto MT" w:hAnsi="Calisto MT" w:cs="Calisto MT"/>
          <w:color w:val="2C2C2C"/>
          <w:sz w:val="21"/>
          <w:u w:val="single" w:color="2C2C2C"/>
        </w:rPr>
        <w:tab/>
        <w:t xml:space="preserve"> </w:t>
      </w:r>
      <w:r>
        <w:rPr>
          <w:rFonts w:ascii="Calisto MT" w:eastAsia="Calisto MT" w:hAnsi="Calisto MT" w:cs="Calisto MT"/>
          <w:color w:val="2C2C2C"/>
          <w:sz w:val="21"/>
          <w:u w:val="single" w:color="2C2C2C"/>
        </w:rPr>
        <w:tab/>
        <w:t>(</w:t>
      </w:r>
      <w:r>
        <w:rPr>
          <w:rFonts w:ascii="Calisto MT" w:eastAsia="Calisto MT" w:hAnsi="Calisto MT" w:cs="Calisto MT"/>
          <w:i/>
          <w:color w:val="2C2C2C"/>
          <w:sz w:val="21"/>
          <w:u w:val="single" w:color="2C2C2C"/>
        </w:rPr>
        <w:t>name of jurisdiction</w:t>
      </w:r>
      <w:r>
        <w:rPr>
          <w:rFonts w:ascii="Calisto MT" w:eastAsia="Calisto MT" w:hAnsi="Calisto MT" w:cs="Calisto MT"/>
          <w:color w:val="2C2C2C"/>
          <w:sz w:val="21"/>
          <w:u w:val="single" w:color="2C2C2C"/>
        </w:rPr>
        <w:t xml:space="preserve">) </w:t>
      </w:r>
      <w:r>
        <w:rPr>
          <w:rFonts w:ascii="Calisto MT" w:eastAsia="Calisto MT" w:hAnsi="Calisto MT" w:cs="Calisto MT"/>
          <w:color w:val="2C2C2C"/>
          <w:sz w:val="21"/>
          <w:u w:val="single" w:color="2C2C2C"/>
        </w:rPr>
        <w:tab/>
        <w:t xml:space="preserve"> </w:t>
      </w:r>
      <w:r>
        <w:rPr>
          <w:rFonts w:ascii="Calisto MT" w:eastAsia="Calisto MT" w:hAnsi="Calisto MT" w:cs="Calisto MT"/>
          <w:color w:val="2C2C2C"/>
          <w:sz w:val="21"/>
          <w:u w:val="single" w:color="2C2C2C"/>
        </w:rPr>
        <w:tab/>
        <w:t xml:space="preserve"> </w:t>
      </w:r>
      <w:r>
        <w:rPr>
          <w:rFonts w:ascii="Calisto MT" w:eastAsia="Calisto MT" w:hAnsi="Calisto MT" w:cs="Calisto MT"/>
          <w:color w:val="2C2C2C"/>
          <w:sz w:val="21"/>
          <w:u w:val="single" w:color="2C2C2C"/>
        </w:rPr>
        <w:tab/>
      </w:r>
      <w:r>
        <w:rPr>
          <w:rFonts w:ascii="Calisto MT" w:eastAsia="Calisto MT" w:hAnsi="Calisto MT" w:cs="Calisto MT"/>
          <w:color w:val="2C2C2C"/>
          <w:sz w:val="21"/>
        </w:rPr>
        <w:t xml:space="preserve"> be amended to allow Accessory </w:t>
      </w:r>
    </w:p>
    <w:p w14:paraId="693A798E" w14:textId="77777777" w:rsidR="00736494" w:rsidRDefault="009156A5">
      <w:pPr>
        <w:spacing w:after="9" w:line="249" w:lineRule="auto"/>
        <w:ind w:left="146" w:right="145"/>
        <w:jc w:val="both"/>
      </w:pPr>
      <w:r>
        <w:rPr>
          <w:rFonts w:ascii="Calisto MT" w:eastAsia="Calisto MT" w:hAnsi="Calisto MT" w:cs="Calisto MT"/>
          <w:color w:val="2C2C2C"/>
          <w:sz w:val="21"/>
        </w:rPr>
        <w:t xml:space="preserve">Dwellings as follows: </w:t>
      </w:r>
    </w:p>
    <w:p w14:paraId="03561B26" w14:textId="77777777" w:rsidR="00736494" w:rsidRDefault="009156A5">
      <w:pPr>
        <w:spacing w:after="0"/>
        <w:ind w:left="161"/>
      </w:pPr>
      <w:r>
        <w:rPr>
          <w:b/>
          <w:color w:val="2C2C2C"/>
          <w:sz w:val="21"/>
        </w:rPr>
        <w:t xml:space="preserve"> </w:t>
      </w:r>
    </w:p>
    <w:p w14:paraId="195C3D20" w14:textId="77777777" w:rsidR="00736494" w:rsidRDefault="009156A5">
      <w:pPr>
        <w:spacing w:after="0"/>
        <w:ind w:left="161"/>
      </w:pPr>
      <w:r>
        <w:rPr>
          <w:rFonts w:ascii="Calisto MT" w:eastAsia="Calisto MT" w:hAnsi="Calisto MT" w:cs="Calisto MT"/>
          <w:i/>
          <w:color w:val="2C2C2C"/>
          <w:sz w:val="21"/>
        </w:rPr>
        <w:t xml:space="preserve"> </w:t>
      </w:r>
    </w:p>
    <w:p w14:paraId="02A1B092" w14:textId="77777777" w:rsidR="00736494" w:rsidRDefault="009156A5">
      <w:pPr>
        <w:spacing w:after="0"/>
        <w:ind w:left="161"/>
      </w:pPr>
      <w:r>
        <w:rPr>
          <w:rFonts w:ascii="Calisto MT" w:eastAsia="Calisto MT" w:hAnsi="Calisto MT" w:cs="Calisto MT"/>
          <w:i/>
          <w:color w:val="2C2C2C"/>
          <w:sz w:val="21"/>
        </w:rPr>
        <w:t xml:space="preserve"> </w:t>
      </w:r>
    </w:p>
    <w:p w14:paraId="0FFF9082" w14:textId="77777777" w:rsidR="00736494" w:rsidRDefault="009156A5">
      <w:pPr>
        <w:spacing w:after="0"/>
        <w:ind w:left="161"/>
      </w:pPr>
      <w:r>
        <w:rPr>
          <w:rFonts w:ascii="Calisto MT" w:eastAsia="Calisto MT" w:hAnsi="Calisto MT" w:cs="Calisto MT"/>
          <w:i/>
          <w:color w:val="2C2C2C"/>
          <w:sz w:val="21"/>
        </w:rPr>
        <w:t xml:space="preserve"> </w:t>
      </w:r>
    </w:p>
    <w:p w14:paraId="5A5778EF" w14:textId="77777777" w:rsidR="00736494" w:rsidRDefault="009156A5">
      <w:pPr>
        <w:spacing w:after="0"/>
        <w:ind w:left="161"/>
      </w:pPr>
      <w:r>
        <w:rPr>
          <w:rFonts w:ascii="Calisto MT" w:eastAsia="Calisto MT" w:hAnsi="Calisto MT" w:cs="Calisto MT"/>
          <w:i/>
          <w:color w:val="2C2C2C"/>
          <w:sz w:val="21"/>
        </w:rPr>
        <w:t xml:space="preserve"> </w:t>
      </w:r>
    </w:p>
    <w:p w14:paraId="68C75205" w14:textId="77777777" w:rsidR="00736494" w:rsidRDefault="009156A5">
      <w:pPr>
        <w:spacing w:after="0"/>
        <w:ind w:left="161"/>
      </w:pPr>
      <w:r>
        <w:rPr>
          <w:rFonts w:ascii="Calisto MT" w:eastAsia="Calisto MT" w:hAnsi="Calisto MT" w:cs="Calisto MT"/>
          <w:i/>
          <w:color w:val="2C2C2C"/>
          <w:sz w:val="21"/>
        </w:rPr>
        <w:t xml:space="preserve"> </w:t>
      </w:r>
    </w:p>
    <w:p w14:paraId="41A28AEB" w14:textId="77777777" w:rsidR="00736494" w:rsidRDefault="00736494">
      <w:pPr>
        <w:spacing w:after="0"/>
        <w:ind w:left="-1440" w:right="9"/>
      </w:pPr>
    </w:p>
    <w:tbl>
      <w:tblPr>
        <w:tblStyle w:val="TableGrid"/>
        <w:tblW w:w="9290" w:type="dxa"/>
        <w:tblInd w:w="55" w:type="dxa"/>
        <w:tblCellMar>
          <w:top w:w="96" w:type="dxa"/>
          <w:left w:w="106" w:type="dxa"/>
          <w:right w:w="33" w:type="dxa"/>
        </w:tblCellMar>
        <w:tblLook w:val="04A0" w:firstRow="1" w:lastRow="0" w:firstColumn="1" w:lastColumn="0" w:noHBand="0" w:noVBand="1"/>
      </w:tblPr>
      <w:tblGrid>
        <w:gridCol w:w="9145"/>
        <w:gridCol w:w="145"/>
      </w:tblGrid>
      <w:tr w:rsidR="00736494" w14:paraId="76667EB9" w14:textId="77777777">
        <w:trPr>
          <w:trHeight w:val="11486"/>
        </w:trPr>
        <w:tc>
          <w:tcPr>
            <w:tcW w:w="9207" w:type="dxa"/>
            <w:tcBorders>
              <w:top w:val="double" w:sz="9" w:space="0" w:color="000000"/>
              <w:left w:val="double" w:sz="9" w:space="0" w:color="000000"/>
              <w:bottom w:val="single" w:sz="6" w:space="0" w:color="000000"/>
              <w:right w:val="single" w:sz="6" w:space="0" w:color="000000"/>
            </w:tcBorders>
            <w:shd w:val="clear" w:color="auto" w:fill="FBF5EB"/>
          </w:tcPr>
          <w:p w14:paraId="13B831F0" w14:textId="77777777" w:rsidR="00736494" w:rsidRDefault="009156A5">
            <w:r>
              <w:rPr>
                <w:rFonts w:ascii="Calisto MT" w:eastAsia="Calisto MT" w:hAnsi="Calisto MT" w:cs="Calisto MT"/>
                <w:i/>
                <w:color w:val="2C2C2C"/>
                <w:sz w:val="21"/>
              </w:rPr>
              <w:lastRenderedPageBreak/>
              <w:t>(</w:t>
            </w:r>
            <w:r>
              <w:rPr>
                <w:rFonts w:ascii="Calisto MT" w:eastAsia="Calisto MT" w:hAnsi="Calisto MT" w:cs="Calisto MT"/>
                <w:i/>
                <w:color w:val="2C2C2C"/>
                <w:sz w:val="24"/>
              </w:rPr>
              <w:t xml:space="preserve">Insert Zoning Code Section/Chapter Reference Number) </w:t>
            </w:r>
          </w:p>
          <w:p w14:paraId="1C60927D" w14:textId="77777777" w:rsidR="00736494" w:rsidRDefault="009156A5">
            <w:r>
              <w:rPr>
                <w:rFonts w:ascii="Calisto MT" w:eastAsia="Calisto MT" w:hAnsi="Calisto MT" w:cs="Calisto MT"/>
                <w:i/>
                <w:color w:val="2C2C2C"/>
                <w:sz w:val="24"/>
              </w:rPr>
              <w:t xml:space="preserve"> </w:t>
            </w:r>
          </w:p>
          <w:p w14:paraId="3FE09822" w14:textId="77777777" w:rsidR="00736494" w:rsidRDefault="009156A5">
            <w:pPr>
              <w:spacing w:after="207"/>
            </w:pPr>
            <w:r>
              <w:rPr>
                <w:b/>
                <w:color w:val="2C2C2C"/>
                <w:sz w:val="24"/>
                <w:u w:val="single" w:color="2C2C2C"/>
              </w:rPr>
              <w:t>Definitions</w:t>
            </w:r>
            <w:r>
              <w:rPr>
                <w:rFonts w:ascii="Calisto MT" w:eastAsia="Calisto MT" w:hAnsi="Calisto MT" w:cs="Calisto MT"/>
                <w:color w:val="2C2C2C"/>
                <w:sz w:val="24"/>
              </w:rPr>
              <w:t xml:space="preserve">: </w:t>
            </w:r>
          </w:p>
          <w:p w14:paraId="26391836" w14:textId="77777777" w:rsidR="00736494" w:rsidRDefault="009156A5">
            <w:pPr>
              <w:spacing w:after="248" w:line="240" w:lineRule="auto"/>
            </w:pPr>
            <w:r>
              <w:rPr>
                <w:b/>
                <w:color w:val="2C2C2C"/>
                <w:sz w:val="24"/>
              </w:rPr>
              <w:t>Accessory Dwelling.</w:t>
            </w:r>
            <w:r>
              <w:rPr>
                <w:rFonts w:ascii="Calisto MT" w:eastAsia="Calisto MT" w:hAnsi="Calisto MT" w:cs="Calisto MT"/>
                <w:color w:val="2C2C2C"/>
                <w:sz w:val="24"/>
              </w:rPr>
              <w:t xml:space="preserve">  </w:t>
            </w:r>
            <w:r>
              <w:rPr>
                <w:rFonts w:ascii="Calisto MT" w:eastAsia="Calisto MT" w:hAnsi="Calisto MT" w:cs="Calisto MT"/>
                <w:sz w:val="24"/>
              </w:rPr>
              <w:t xml:space="preserve">A second dwelling that is:  (1) located on the same lot, parcel, or tract as a primary dwelling, and (2) has a gross floor area not greater than 75% of the size of the primary dwelling, and (3) is subordinate in use to the primary dwelling.  </w:t>
            </w:r>
          </w:p>
          <w:p w14:paraId="77628A82" w14:textId="77777777" w:rsidR="00736494" w:rsidRDefault="009156A5">
            <w:pPr>
              <w:spacing w:after="238" w:line="239" w:lineRule="auto"/>
            </w:pPr>
            <w:r>
              <w:rPr>
                <w:b/>
                <w:color w:val="2C2C2C"/>
                <w:sz w:val="24"/>
              </w:rPr>
              <w:t>Primary Dwelling.</w:t>
            </w:r>
            <w:r>
              <w:rPr>
                <w:rFonts w:ascii="Calisto MT" w:eastAsia="Calisto MT" w:hAnsi="Calisto MT" w:cs="Calisto MT"/>
                <w:color w:val="2C2C2C"/>
                <w:sz w:val="24"/>
              </w:rPr>
              <w:t xml:space="preserve">  </w:t>
            </w:r>
            <w:r>
              <w:rPr>
                <w:rFonts w:ascii="Calisto MT" w:eastAsia="Calisto MT" w:hAnsi="Calisto MT" w:cs="Calisto MT"/>
                <w:sz w:val="24"/>
              </w:rPr>
              <w:t xml:space="preserve">A single-unit detached dwelling that is the principal structure on a single lot of record, and is the larger of the dwellings if there is an accessory dwelling located on the same lot. </w:t>
            </w:r>
          </w:p>
          <w:p w14:paraId="1A689497" w14:textId="77777777" w:rsidR="00736494" w:rsidRDefault="009156A5">
            <w:pPr>
              <w:spacing w:after="216"/>
            </w:pPr>
            <w:r>
              <w:rPr>
                <w:rFonts w:ascii="Calisto MT" w:eastAsia="Calisto MT" w:hAnsi="Calisto MT" w:cs="Calisto MT"/>
                <w:i/>
                <w:color w:val="2C2C2C"/>
                <w:sz w:val="24"/>
              </w:rPr>
              <w:t xml:space="preserve"> </w:t>
            </w:r>
          </w:p>
          <w:p w14:paraId="391925F8" w14:textId="77777777" w:rsidR="00736494" w:rsidRDefault="009156A5">
            <w:pPr>
              <w:spacing w:after="228"/>
            </w:pPr>
            <w:r>
              <w:rPr>
                <w:rFonts w:ascii="Calisto MT" w:eastAsia="Calisto MT" w:hAnsi="Calisto MT" w:cs="Calisto MT"/>
                <w:i/>
                <w:color w:val="2C2C2C"/>
                <w:sz w:val="24"/>
                <w:u w:val="single" w:color="2C2C2C"/>
              </w:rPr>
              <w:t>(Insert Zoning Code Section/Chapter Reference Number)</w:t>
            </w:r>
            <w:r>
              <w:rPr>
                <w:rFonts w:ascii="Calisto MT" w:eastAsia="Calisto MT" w:hAnsi="Calisto MT" w:cs="Calisto MT"/>
                <w:i/>
                <w:color w:val="2C2C2C"/>
                <w:sz w:val="24"/>
              </w:rPr>
              <w:t xml:space="preserve"> </w:t>
            </w:r>
          </w:p>
          <w:p w14:paraId="14D26F04" w14:textId="77777777" w:rsidR="00736494" w:rsidRDefault="009156A5">
            <w:pPr>
              <w:spacing w:after="234" w:line="234" w:lineRule="auto"/>
            </w:pPr>
            <w:r>
              <w:rPr>
                <w:b/>
                <w:color w:val="2C2C2C"/>
                <w:sz w:val="24"/>
              </w:rPr>
              <w:t xml:space="preserve"> </w:t>
            </w:r>
            <w:r>
              <w:rPr>
                <w:color w:val="2C2C2C"/>
                <w:sz w:val="24"/>
              </w:rPr>
              <w:t>“Accessory</w:t>
            </w:r>
            <w:r>
              <w:rPr>
                <w:b/>
                <w:color w:val="2C2C2C"/>
                <w:sz w:val="24"/>
              </w:rPr>
              <w:t xml:space="preserve"> </w:t>
            </w:r>
            <w:r>
              <w:rPr>
                <w:color w:val="2C2C2C"/>
                <w:sz w:val="24"/>
              </w:rPr>
              <w:t xml:space="preserve">dwelling.” </w:t>
            </w:r>
            <w:r>
              <w:rPr>
                <w:rFonts w:ascii="Calisto MT" w:eastAsia="Calisto MT" w:hAnsi="Calisto MT" w:cs="Calisto MT"/>
                <w:color w:val="2C2C2C"/>
                <w:sz w:val="24"/>
              </w:rPr>
              <w:t>An accessory dwelling is a permitted use in any zone that permits a primary dwelling as a principal use, subject to the following conditions</w:t>
            </w:r>
            <w:r>
              <w:rPr>
                <w:b/>
                <w:color w:val="2C2C2C"/>
                <w:sz w:val="24"/>
              </w:rPr>
              <w:t xml:space="preserve">: </w:t>
            </w:r>
          </w:p>
          <w:p w14:paraId="67F9B0B6" w14:textId="77777777" w:rsidR="00736494" w:rsidRDefault="009156A5">
            <w:pPr>
              <w:numPr>
                <w:ilvl w:val="0"/>
                <w:numId w:val="32"/>
              </w:numPr>
              <w:spacing w:after="243" w:line="240" w:lineRule="auto"/>
              <w:ind w:hanging="360"/>
            </w:pPr>
            <w:r>
              <w:rPr>
                <w:rFonts w:ascii="Calisto MT" w:eastAsia="Calisto MT" w:hAnsi="Calisto MT" w:cs="Calisto MT"/>
                <w:color w:val="363636"/>
                <w:sz w:val="24"/>
              </w:rPr>
              <w:t xml:space="preserve">The Zoning Administrator shall review all applications for an accessory dwelling and may approve such applications upon finding that the proposed accessory dwelling substantially complies with these conditions. </w:t>
            </w:r>
          </w:p>
          <w:p w14:paraId="70FD2229" w14:textId="77777777" w:rsidR="00736494" w:rsidRDefault="009156A5">
            <w:pPr>
              <w:numPr>
                <w:ilvl w:val="0"/>
                <w:numId w:val="32"/>
              </w:numPr>
              <w:spacing w:after="241" w:line="241" w:lineRule="auto"/>
              <w:ind w:hanging="360"/>
            </w:pPr>
            <w:r>
              <w:rPr>
                <w:rFonts w:ascii="Calisto MT" w:eastAsia="Calisto MT" w:hAnsi="Calisto MT" w:cs="Calisto MT"/>
                <w:color w:val="2C2C2C"/>
                <w:sz w:val="24"/>
              </w:rPr>
              <w:t xml:space="preserve">A maximum of one accessory dwelling may be established on any lot with a primary dwelling as a principal use. </w:t>
            </w:r>
          </w:p>
          <w:p w14:paraId="3A147C40" w14:textId="77777777" w:rsidR="00736494" w:rsidRDefault="009156A5">
            <w:pPr>
              <w:numPr>
                <w:ilvl w:val="0"/>
                <w:numId w:val="32"/>
              </w:numPr>
              <w:spacing w:after="164" w:line="310" w:lineRule="auto"/>
              <w:ind w:hanging="360"/>
            </w:pPr>
            <w:r>
              <w:rPr>
                <w:rFonts w:ascii="Calisto MT" w:eastAsia="Calisto MT" w:hAnsi="Calisto MT" w:cs="Calisto MT"/>
                <w:color w:val="2C2C2C"/>
                <w:sz w:val="24"/>
              </w:rPr>
              <w:t>The floor area of any accessory dwelling may be no more than 75% of the gross floor area of the principal dwelling.  The calculation of the accessory dwelling floor area shall not include loft or attic space used solely for storage. D.</w:t>
            </w:r>
            <w:r>
              <w:rPr>
                <w:rFonts w:ascii="Arial" w:eastAsia="Arial" w:hAnsi="Arial" w:cs="Arial"/>
                <w:color w:val="2C2C2C"/>
                <w:sz w:val="24"/>
              </w:rPr>
              <w:t xml:space="preserve"> </w:t>
            </w:r>
            <w:r>
              <w:rPr>
                <w:rFonts w:ascii="Calisto MT" w:eastAsia="Calisto MT" w:hAnsi="Calisto MT" w:cs="Calisto MT"/>
                <w:color w:val="2C2C2C"/>
                <w:sz w:val="24"/>
              </w:rPr>
              <w:t xml:space="preserve">An accessory dwelling shall contain no more than 2 bedrooms. </w:t>
            </w:r>
          </w:p>
          <w:p w14:paraId="3EEF78BE" w14:textId="77777777" w:rsidR="00736494" w:rsidRDefault="009156A5">
            <w:pPr>
              <w:numPr>
                <w:ilvl w:val="0"/>
                <w:numId w:val="33"/>
              </w:numPr>
              <w:spacing w:after="246" w:line="239" w:lineRule="auto"/>
              <w:ind w:hanging="360"/>
            </w:pPr>
            <w:r>
              <w:rPr>
                <w:rFonts w:ascii="Calisto MT" w:eastAsia="Calisto MT" w:hAnsi="Calisto MT" w:cs="Calisto MT"/>
                <w:color w:val="363636"/>
                <w:sz w:val="24"/>
              </w:rPr>
              <w:t>An accessory dwelling shall not count as a dwelling unit for purposes of calculating housing density.</w:t>
            </w:r>
            <w:r>
              <w:rPr>
                <w:rFonts w:ascii="Calisto MT" w:eastAsia="Calisto MT" w:hAnsi="Calisto MT" w:cs="Calisto MT"/>
                <w:color w:val="2C2C2C"/>
                <w:sz w:val="24"/>
              </w:rPr>
              <w:t xml:space="preserve"> </w:t>
            </w:r>
          </w:p>
          <w:p w14:paraId="03F7F488" w14:textId="77777777" w:rsidR="00736494" w:rsidRDefault="009156A5">
            <w:pPr>
              <w:numPr>
                <w:ilvl w:val="0"/>
                <w:numId w:val="33"/>
              </w:numPr>
              <w:spacing w:after="247" w:line="239" w:lineRule="auto"/>
              <w:ind w:hanging="360"/>
            </w:pPr>
            <w:r>
              <w:rPr>
                <w:rFonts w:ascii="Calisto MT" w:eastAsia="Calisto MT" w:hAnsi="Calisto MT" w:cs="Calisto MT"/>
                <w:color w:val="363636"/>
                <w:sz w:val="24"/>
              </w:rPr>
              <w:t xml:space="preserve">An accessory dwelling shall </w:t>
            </w:r>
            <w:r>
              <w:rPr>
                <w:rFonts w:ascii="Calisto MT" w:eastAsia="Calisto MT" w:hAnsi="Calisto MT" w:cs="Calisto MT"/>
                <w:sz w:val="24"/>
              </w:rPr>
              <w:t>meet public health, safety, and welfare standards, including relevant building codes and adequate public facilities provisions.</w:t>
            </w:r>
            <w:r>
              <w:rPr>
                <w:rFonts w:ascii="Calisto MT" w:eastAsia="Calisto MT" w:hAnsi="Calisto MT" w:cs="Calisto MT"/>
                <w:color w:val="2C2C2C"/>
                <w:sz w:val="24"/>
              </w:rPr>
              <w:t xml:space="preserve"> </w:t>
            </w:r>
          </w:p>
          <w:p w14:paraId="5A6CC146" w14:textId="77777777" w:rsidR="00736494" w:rsidRDefault="009156A5">
            <w:pPr>
              <w:numPr>
                <w:ilvl w:val="0"/>
                <w:numId w:val="33"/>
              </w:numPr>
              <w:spacing w:after="240" w:line="239" w:lineRule="auto"/>
              <w:ind w:hanging="360"/>
            </w:pPr>
            <w:r>
              <w:rPr>
                <w:rFonts w:ascii="Calisto MT" w:eastAsia="Calisto MT" w:hAnsi="Calisto MT" w:cs="Calisto MT"/>
                <w:color w:val="363636"/>
                <w:sz w:val="24"/>
              </w:rPr>
              <w:t>An accessory dwelling is not required to comply with Adequate Public Facilities Ordinance requirements related to schools.</w:t>
            </w:r>
            <w:r>
              <w:rPr>
                <w:rFonts w:ascii="Calisto MT" w:eastAsia="Calisto MT" w:hAnsi="Calisto MT" w:cs="Calisto MT"/>
                <w:color w:val="2C2C2C"/>
                <w:sz w:val="24"/>
              </w:rPr>
              <w:t xml:space="preserve"> </w:t>
            </w:r>
          </w:p>
          <w:p w14:paraId="193F794B" w14:textId="77777777" w:rsidR="00736494" w:rsidRDefault="009156A5">
            <w:pPr>
              <w:ind w:left="720"/>
            </w:pPr>
            <w:r>
              <w:rPr>
                <w:rFonts w:ascii="Calisto MT" w:eastAsia="Calisto MT" w:hAnsi="Calisto MT" w:cs="Calisto MT"/>
                <w:color w:val="2C2C2C"/>
                <w:sz w:val="24"/>
              </w:rPr>
              <w:t xml:space="preserve"> </w:t>
            </w:r>
          </w:p>
        </w:tc>
        <w:tc>
          <w:tcPr>
            <w:tcW w:w="83" w:type="dxa"/>
            <w:tcBorders>
              <w:top w:val="single" w:sz="6" w:space="0" w:color="000000"/>
              <w:left w:val="single" w:sz="6" w:space="0" w:color="000000"/>
              <w:bottom w:val="nil"/>
              <w:right w:val="single" w:sz="12" w:space="0" w:color="000000"/>
            </w:tcBorders>
          </w:tcPr>
          <w:p w14:paraId="331CE413" w14:textId="77777777" w:rsidR="00736494" w:rsidRDefault="00736494"/>
        </w:tc>
      </w:tr>
      <w:tr w:rsidR="00736494" w14:paraId="24225BD4" w14:textId="77777777">
        <w:trPr>
          <w:trHeight w:val="85"/>
        </w:trPr>
        <w:tc>
          <w:tcPr>
            <w:tcW w:w="9290" w:type="dxa"/>
            <w:gridSpan w:val="2"/>
            <w:tcBorders>
              <w:top w:val="single" w:sz="6" w:space="0" w:color="000000"/>
              <w:left w:val="single" w:sz="6" w:space="0" w:color="000000"/>
              <w:bottom w:val="single" w:sz="12" w:space="0" w:color="000000"/>
              <w:right w:val="single" w:sz="12" w:space="0" w:color="000000"/>
            </w:tcBorders>
          </w:tcPr>
          <w:p w14:paraId="55186688" w14:textId="77777777" w:rsidR="00736494" w:rsidRDefault="00736494"/>
        </w:tc>
      </w:tr>
    </w:tbl>
    <w:p w14:paraId="5529A77C" w14:textId="77777777" w:rsidR="00736494" w:rsidRDefault="00736494">
      <w:pPr>
        <w:spacing w:after="0"/>
        <w:ind w:left="-1440" w:right="9"/>
      </w:pPr>
    </w:p>
    <w:tbl>
      <w:tblPr>
        <w:tblStyle w:val="TableGrid"/>
        <w:tblW w:w="9290" w:type="dxa"/>
        <w:tblInd w:w="55" w:type="dxa"/>
        <w:tblCellMar>
          <w:top w:w="101" w:type="dxa"/>
          <w:left w:w="466" w:type="dxa"/>
          <w:right w:w="209" w:type="dxa"/>
        </w:tblCellMar>
        <w:tblLook w:val="04A0" w:firstRow="1" w:lastRow="0" w:firstColumn="1" w:lastColumn="0" w:noHBand="0" w:noVBand="1"/>
      </w:tblPr>
      <w:tblGrid>
        <w:gridCol w:w="8609"/>
        <w:gridCol w:w="681"/>
      </w:tblGrid>
      <w:tr w:rsidR="00736494" w14:paraId="11AB9819" w14:textId="77777777">
        <w:trPr>
          <w:trHeight w:val="11046"/>
        </w:trPr>
        <w:tc>
          <w:tcPr>
            <w:tcW w:w="9207" w:type="dxa"/>
            <w:tcBorders>
              <w:top w:val="double" w:sz="9" w:space="0" w:color="000000"/>
              <w:left w:val="double" w:sz="9" w:space="0" w:color="000000"/>
              <w:bottom w:val="single" w:sz="6" w:space="0" w:color="000000"/>
              <w:right w:val="single" w:sz="6" w:space="0" w:color="000000"/>
            </w:tcBorders>
            <w:shd w:val="clear" w:color="auto" w:fill="FBF5EB"/>
          </w:tcPr>
          <w:p w14:paraId="3A0B2739" w14:textId="77777777" w:rsidR="00736494" w:rsidRDefault="009156A5">
            <w:pPr>
              <w:numPr>
                <w:ilvl w:val="0"/>
                <w:numId w:val="34"/>
              </w:numPr>
              <w:spacing w:after="222" w:line="241" w:lineRule="auto"/>
              <w:ind w:hanging="360"/>
            </w:pPr>
            <w:r>
              <w:rPr>
                <w:rFonts w:ascii="Calisto MT" w:eastAsia="Calisto MT" w:hAnsi="Calisto MT" w:cs="Calisto MT"/>
                <w:color w:val="2C2C2C"/>
                <w:sz w:val="24"/>
              </w:rPr>
              <w:lastRenderedPageBreak/>
              <w:t xml:space="preserve">An accessory dwelling may be established within a principal dwelling or within an accessory structure, and shall maintain the following setbacks: </w:t>
            </w:r>
          </w:p>
          <w:p w14:paraId="58EC941E" w14:textId="77777777" w:rsidR="00736494" w:rsidRDefault="009156A5">
            <w:pPr>
              <w:numPr>
                <w:ilvl w:val="1"/>
                <w:numId w:val="34"/>
              </w:numPr>
              <w:spacing w:after="218" w:line="242" w:lineRule="auto"/>
              <w:ind w:hanging="461"/>
            </w:pPr>
            <w:r>
              <w:rPr>
                <w:rFonts w:ascii="Calisto MT" w:eastAsia="Calisto MT" w:hAnsi="Calisto MT" w:cs="Calisto MT"/>
                <w:color w:val="2C2C2C"/>
                <w:sz w:val="24"/>
              </w:rPr>
              <w:t xml:space="preserve">An accessory dwelling located within a principal dwelling, or attached to a principal dwelling along a common wall, must comply with building setbacks applicable to the principal dwelling. </w:t>
            </w:r>
          </w:p>
          <w:p w14:paraId="06FB17A5" w14:textId="77777777" w:rsidR="00736494" w:rsidRDefault="009156A5">
            <w:pPr>
              <w:numPr>
                <w:ilvl w:val="1"/>
                <w:numId w:val="34"/>
              </w:numPr>
              <w:spacing w:after="219" w:line="242" w:lineRule="auto"/>
              <w:ind w:hanging="461"/>
            </w:pPr>
            <w:r>
              <w:rPr>
                <w:rFonts w:ascii="Calisto MT" w:eastAsia="Calisto MT" w:hAnsi="Calisto MT" w:cs="Calisto MT"/>
                <w:color w:val="2C2C2C"/>
                <w:sz w:val="24"/>
              </w:rPr>
              <w:t xml:space="preserve">An accessory dwelling that is not attached to the principal dwelling must comply with applicable accessory structure setbacks of the zoning district, however, in no case shall an accessory dwelling be setback from any property line less than 5 feet. </w:t>
            </w:r>
          </w:p>
          <w:p w14:paraId="69C6D920" w14:textId="77777777" w:rsidR="00736494" w:rsidRDefault="009156A5">
            <w:pPr>
              <w:numPr>
                <w:ilvl w:val="1"/>
                <w:numId w:val="34"/>
              </w:numPr>
              <w:spacing w:after="195" w:line="246" w:lineRule="auto"/>
              <w:ind w:hanging="461"/>
            </w:pPr>
            <w:r>
              <w:rPr>
                <w:rFonts w:ascii="Calisto MT" w:eastAsia="Calisto MT" w:hAnsi="Calisto MT" w:cs="Calisto MT"/>
                <w:color w:val="2C2C2C"/>
                <w:sz w:val="24"/>
              </w:rPr>
              <w:t xml:space="preserve">Mechanical equipment for an accessory dwelling may project into the required building setback. </w:t>
            </w:r>
          </w:p>
          <w:p w14:paraId="0C8485B5" w14:textId="77777777" w:rsidR="00736494" w:rsidRDefault="009156A5">
            <w:pPr>
              <w:numPr>
                <w:ilvl w:val="0"/>
                <w:numId w:val="34"/>
              </w:numPr>
              <w:spacing w:after="200" w:line="241" w:lineRule="auto"/>
              <w:ind w:hanging="360"/>
            </w:pPr>
            <w:r>
              <w:rPr>
                <w:rFonts w:ascii="Calisto MT" w:eastAsia="Calisto MT" w:hAnsi="Calisto MT" w:cs="Calisto MT"/>
                <w:color w:val="2C2C2C"/>
                <w:sz w:val="24"/>
              </w:rPr>
              <w:t xml:space="preserve">Each accessory dwelling shall have its own separate exterior door providing ingress and egress. </w:t>
            </w:r>
          </w:p>
          <w:p w14:paraId="530A2581" w14:textId="77777777" w:rsidR="00736494" w:rsidRDefault="009156A5">
            <w:pPr>
              <w:numPr>
                <w:ilvl w:val="0"/>
                <w:numId w:val="34"/>
              </w:numPr>
              <w:spacing w:after="200" w:line="241" w:lineRule="auto"/>
              <w:ind w:hanging="360"/>
            </w:pPr>
            <w:r>
              <w:rPr>
                <w:rFonts w:ascii="Calisto MT" w:eastAsia="Calisto MT" w:hAnsi="Calisto MT" w:cs="Calisto MT"/>
                <w:color w:val="2C2C2C"/>
                <w:sz w:val="24"/>
              </w:rPr>
              <w:t xml:space="preserve">An accessory dwelling must have the same street address (house number) as the primary dwelling. </w:t>
            </w:r>
          </w:p>
          <w:p w14:paraId="474D9AE8" w14:textId="77777777" w:rsidR="00736494" w:rsidRDefault="009156A5">
            <w:pPr>
              <w:numPr>
                <w:ilvl w:val="0"/>
                <w:numId w:val="34"/>
              </w:numPr>
              <w:spacing w:after="200" w:line="241" w:lineRule="auto"/>
              <w:ind w:hanging="360"/>
            </w:pPr>
            <w:r>
              <w:rPr>
                <w:rFonts w:ascii="Calisto MT" w:eastAsia="Calisto MT" w:hAnsi="Calisto MT" w:cs="Calisto MT"/>
                <w:color w:val="2C2C2C"/>
                <w:sz w:val="24"/>
              </w:rPr>
              <w:t xml:space="preserve">Both the accessory dwelling and the principal dwelling shall be located on one lot in common ownership. </w:t>
            </w:r>
          </w:p>
          <w:p w14:paraId="073C9658" w14:textId="77777777" w:rsidR="00736494" w:rsidRDefault="009156A5">
            <w:pPr>
              <w:numPr>
                <w:ilvl w:val="0"/>
                <w:numId w:val="34"/>
              </w:numPr>
              <w:spacing w:after="219" w:line="243" w:lineRule="auto"/>
              <w:ind w:hanging="360"/>
            </w:pPr>
            <w:r>
              <w:rPr>
                <w:rFonts w:ascii="Calisto MT" w:eastAsia="Calisto MT" w:hAnsi="Calisto MT" w:cs="Calisto MT"/>
                <w:color w:val="2C2C2C"/>
                <w:sz w:val="24"/>
              </w:rPr>
              <w:t xml:space="preserve">An accessory dwelling must be permanently attached to a foundation, or within a structure that is permanently attached to a foundation. </w:t>
            </w:r>
          </w:p>
          <w:p w14:paraId="3A605C33" w14:textId="77777777" w:rsidR="00736494" w:rsidRDefault="009156A5">
            <w:pPr>
              <w:numPr>
                <w:ilvl w:val="0"/>
                <w:numId w:val="34"/>
              </w:numPr>
              <w:spacing w:after="183"/>
              <w:ind w:hanging="360"/>
            </w:pPr>
            <w:r>
              <w:rPr>
                <w:rFonts w:ascii="Calisto MT" w:eastAsia="Calisto MT" w:hAnsi="Calisto MT" w:cs="Calisto MT"/>
                <w:color w:val="2C2C2C"/>
                <w:sz w:val="24"/>
              </w:rPr>
              <w:t xml:space="preserve">Parking. </w:t>
            </w:r>
            <w:r>
              <w:rPr>
                <w:rFonts w:ascii="Calisto MT" w:eastAsia="Calisto MT" w:hAnsi="Calisto MT" w:cs="Calisto MT"/>
                <w:color w:val="2C2C2C"/>
                <w:sz w:val="24"/>
              </w:rPr>
              <w:tab/>
              <w:t xml:space="preserve"> </w:t>
            </w:r>
          </w:p>
          <w:p w14:paraId="1DBDED24" w14:textId="77777777" w:rsidR="00736494" w:rsidRDefault="009156A5">
            <w:pPr>
              <w:numPr>
                <w:ilvl w:val="1"/>
                <w:numId w:val="34"/>
              </w:numPr>
              <w:spacing w:after="200" w:line="241" w:lineRule="auto"/>
              <w:ind w:hanging="461"/>
            </w:pPr>
            <w:r>
              <w:rPr>
                <w:rFonts w:ascii="Calisto MT" w:eastAsia="Calisto MT" w:hAnsi="Calisto MT" w:cs="Calisto MT"/>
                <w:color w:val="333333"/>
                <w:sz w:val="24"/>
              </w:rPr>
              <w:t xml:space="preserve">No additional parking space is required for the accessory dwelling if it is created on a site with an existing house and on-street parking is permitted and adequate. </w:t>
            </w:r>
          </w:p>
          <w:p w14:paraId="1A3F450A" w14:textId="77777777" w:rsidR="00736494" w:rsidRDefault="009156A5">
            <w:pPr>
              <w:numPr>
                <w:ilvl w:val="1"/>
                <w:numId w:val="34"/>
              </w:numPr>
              <w:spacing w:after="199" w:line="240" w:lineRule="auto"/>
              <w:ind w:hanging="461"/>
            </w:pPr>
            <w:r>
              <w:rPr>
                <w:rFonts w:ascii="Calisto MT" w:eastAsia="Calisto MT" w:hAnsi="Calisto MT" w:cs="Calisto MT"/>
                <w:color w:val="333333"/>
                <w:sz w:val="24"/>
              </w:rPr>
              <w:t xml:space="preserve">One additional parking space located on or within 100 feet of the lot is required for the accessory dwelling: 1) when none of the roadways in abutting streets can accommodate on-street parking; or 2) when the accessory dwelling unit is created at the same time as the principal dwelling. </w:t>
            </w:r>
          </w:p>
          <w:p w14:paraId="084844A3" w14:textId="77777777" w:rsidR="00736494" w:rsidRDefault="009156A5">
            <w:pPr>
              <w:numPr>
                <w:ilvl w:val="0"/>
                <w:numId w:val="34"/>
              </w:numPr>
              <w:ind w:hanging="360"/>
            </w:pPr>
            <w:r>
              <w:rPr>
                <w:rFonts w:ascii="Calisto MT" w:eastAsia="Calisto MT" w:hAnsi="Calisto MT" w:cs="Calisto MT"/>
                <w:color w:val="363636"/>
                <w:sz w:val="24"/>
              </w:rPr>
              <w:t>An accessory dwelling is allowed on an existing lot of record with a nonconforming lot size and/or a non-conforming setback if the accessory dwelling does not increase the non-conforming setback.</w:t>
            </w:r>
            <w:r>
              <w:rPr>
                <w:rFonts w:ascii="Calisto MT" w:eastAsia="Calisto MT" w:hAnsi="Calisto MT" w:cs="Calisto MT"/>
                <w:color w:val="333333"/>
                <w:sz w:val="21"/>
              </w:rPr>
              <w:t xml:space="preserve"> </w:t>
            </w:r>
          </w:p>
        </w:tc>
        <w:tc>
          <w:tcPr>
            <w:tcW w:w="83" w:type="dxa"/>
            <w:tcBorders>
              <w:top w:val="single" w:sz="6" w:space="0" w:color="000000"/>
              <w:left w:val="single" w:sz="6" w:space="0" w:color="000000"/>
              <w:bottom w:val="nil"/>
              <w:right w:val="single" w:sz="12" w:space="0" w:color="000000"/>
            </w:tcBorders>
          </w:tcPr>
          <w:p w14:paraId="577DD6F0" w14:textId="77777777" w:rsidR="00736494" w:rsidRDefault="00736494"/>
        </w:tc>
      </w:tr>
      <w:tr w:rsidR="00736494" w14:paraId="56A11124" w14:textId="77777777">
        <w:trPr>
          <w:trHeight w:val="85"/>
        </w:trPr>
        <w:tc>
          <w:tcPr>
            <w:tcW w:w="9290" w:type="dxa"/>
            <w:gridSpan w:val="2"/>
            <w:tcBorders>
              <w:top w:val="single" w:sz="6" w:space="0" w:color="000000"/>
              <w:left w:val="single" w:sz="6" w:space="0" w:color="000000"/>
              <w:bottom w:val="single" w:sz="12" w:space="0" w:color="000000"/>
              <w:right w:val="single" w:sz="12" w:space="0" w:color="000000"/>
            </w:tcBorders>
          </w:tcPr>
          <w:p w14:paraId="7EF6A190" w14:textId="77777777" w:rsidR="00736494" w:rsidRDefault="00736494"/>
        </w:tc>
      </w:tr>
    </w:tbl>
    <w:p w14:paraId="7C1B676B" w14:textId="77777777" w:rsidR="00736494" w:rsidRDefault="009156A5">
      <w:pPr>
        <w:pStyle w:val="Heading1"/>
        <w:ind w:left="-5"/>
      </w:pPr>
      <w:bookmarkStart w:id="2" w:name="_Toc37492"/>
      <w:r>
        <w:lastRenderedPageBreak/>
        <w:t xml:space="preserve">ADU Ordinance - Required Provisions  </w:t>
      </w:r>
      <w:bookmarkEnd w:id="2"/>
    </w:p>
    <w:p w14:paraId="425B6FCD" w14:textId="77777777" w:rsidR="00736494" w:rsidRDefault="009156A5">
      <w:pPr>
        <w:spacing w:after="101"/>
        <w:ind w:left="-29" w:right="-36"/>
      </w:pPr>
      <w:r>
        <w:rPr>
          <w:noProof/>
        </w:rPr>
        <mc:AlternateContent>
          <mc:Choice Requires="wpg">
            <w:drawing>
              <wp:inline distT="0" distB="0" distL="0" distR="0" wp14:anchorId="5B502EC8" wp14:editId="2E1F9157">
                <wp:extent cx="5981065" cy="6096"/>
                <wp:effectExtent l="0" t="0" r="0" b="0"/>
                <wp:docPr id="36537" name="Group 36537"/>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7957" name="Shape 3795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inline>
            </w:drawing>
          </mc:Choice>
          <mc:Fallback xmlns:a="http://schemas.openxmlformats.org/drawingml/2006/main">
            <w:pict>
              <v:group id="Group 36537" style="width:470.95pt;height:0.47998pt;mso-position-horizontal-relative:char;mso-position-vertical-relative:line" coordsize="59810,60">
                <v:shape id="Shape 37958" style="position:absolute;width:59810;height:91;left:0;top:0;" coordsize="5981065,9144" path="m0,0l5981065,0l5981065,9144l0,9144l0,0">
                  <v:stroke weight="0pt" endcap="flat" joinstyle="miter" miterlimit="10" on="false" color="#000000" opacity="0"/>
                  <v:fill on="true" color="#ffc000"/>
                </v:shape>
              </v:group>
            </w:pict>
          </mc:Fallback>
        </mc:AlternateContent>
      </w:r>
    </w:p>
    <w:tbl>
      <w:tblPr>
        <w:tblStyle w:val="TableGrid"/>
        <w:tblW w:w="9627" w:type="dxa"/>
        <w:tblInd w:w="6" w:type="dxa"/>
        <w:tblCellMar>
          <w:top w:w="148" w:type="dxa"/>
          <w:left w:w="91" w:type="dxa"/>
          <w:right w:w="75" w:type="dxa"/>
        </w:tblCellMar>
        <w:tblLook w:val="04A0" w:firstRow="1" w:lastRow="0" w:firstColumn="1" w:lastColumn="0" w:noHBand="0" w:noVBand="1"/>
      </w:tblPr>
      <w:tblGrid>
        <w:gridCol w:w="671"/>
        <w:gridCol w:w="2108"/>
        <w:gridCol w:w="6848"/>
      </w:tblGrid>
      <w:tr w:rsidR="00736494" w14:paraId="58716F87" w14:textId="77777777">
        <w:trPr>
          <w:trHeight w:val="1807"/>
        </w:trPr>
        <w:tc>
          <w:tcPr>
            <w:tcW w:w="671" w:type="dxa"/>
            <w:vMerge w:val="restart"/>
            <w:tcBorders>
              <w:top w:val="single" w:sz="4" w:space="0" w:color="000000"/>
              <w:left w:val="single" w:sz="4" w:space="0" w:color="000000"/>
              <w:bottom w:val="single" w:sz="4" w:space="0" w:color="000000"/>
              <w:right w:val="single" w:sz="4" w:space="0" w:color="000000"/>
            </w:tcBorders>
            <w:shd w:val="clear" w:color="auto" w:fill="FFE599"/>
          </w:tcPr>
          <w:p w14:paraId="48DCF618" w14:textId="77777777" w:rsidR="00736494" w:rsidRDefault="009156A5">
            <w:pPr>
              <w:ind w:left="98"/>
            </w:pPr>
            <w:r>
              <w:rPr>
                <w:noProof/>
              </w:rPr>
              <mc:AlternateContent>
                <mc:Choice Requires="wpg">
                  <w:drawing>
                    <wp:inline distT="0" distB="0" distL="0" distR="0" wp14:anchorId="0C17728D" wp14:editId="7A924AAF">
                      <wp:extent cx="231391" cy="2098650"/>
                      <wp:effectExtent l="0" t="0" r="0" b="0"/>
                      <wp:docPr id="36290" name="Group 36290"/>
                      <wp:cNvGraphicFramePr/>
                      <a:graphic xmlns:a="http://schemas.openxmlformats.org/drawingml/2006/main">
                        <a:graphicData uri="http://schemas.microsoft.com/office/word/2010/wordprocessingGroup">
                          <wpg:wgp>
                            <wpg:cNvGrpSpPr/>
                            <wpg:grpSpPr>
                              <a:xfrm>
                                <a:off x="0" y="0"/>
                                <a:ext cx="231391" cy="2098650"/>
                                <a:chOff x="0" y="0"/>
                                <a:chExt cx="231391" cy="2098650"/>
                              </a:xfrm>
                            </wpg:grpSpPr>
                            <wps:wsp>
                              <wps:cNvPr id="2291" name="Rectangle 2291"/>
                              <wps:cNvSpPr/>
                              <wps:spPr>
                                <a:xfrm rot="-5399999">
                                  <a:off x="-438694" y="1352205"/>
                                  <a:ext cx="1185140" cy="307750"/>
                                </a:xfrm>
                                <a:prstGeom prst="rect">
                                  <a:avLst/>
                                </a:prstGeom>
                                <a:ln>
                                  <a:noFill/>
                                </a:ln>
                              </wps:spPr>
                              <wps:txbx>
                                <w:txbxContent>
                                  <w:p w14:paraId="632E677E" w14:textId="77777777" w:rsidR="00736494" w:rsidRDefault="009156A5">
                                    <w:r>
                                      <w:rPr>
                                        <w:rFonts w:ascii="Corbel" w:eastAsia="Corbel" w:hAnsi="Corbel" w:cs="Corbel"/>
                                        <w:b/>
                                        <w:color w:val="363636"/>
                                        <w:sz w:val="36"/>
                                      </w:rPr>
                                      <w:t>Required</w:t>
                                    </w:r>
                                  </w:p>
                                </w:txbxContent>
                              </wps:txbx>
                              <wps:bodyPr horzOverflow="overflow" vert="horz" lIns="0" tIns="0" rIns="0" bIns="0" rtlCol="0">
                                <a:noAutofit/>
                              </wps:bodyPr>
                            </wps:wsp>
                            <wps:wsp>
                              <wps:cNvPr id="2292" name="Rectangle 2292"/>
                              <wps:cNvSpPr/>
                              <wps:spPr>
                                <a:xfrm rot="-5399999">
                                  <a:off x="122559" y="1021665"/>
                                  <a:ext cx="62632" cy="307749"/>
                                </a:xfrm>
                                <a:prstGeom prst="rect">
                                  <a:avLst/>
                                </a:prstGeom>
                                <a:ln>
                                  <a:noFill/>
                                </a:ln>
                              </wps:spPr>
                              <wps:txbx>
                                <w:txbxContent>
                                  <w:p w14:paraId="28EC63EC"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s:wsp>
                              <wps:cNvPr id="2293" name="Rectangle 2293"/>
                              <wps:cNvSpPr/>
                              <wps:spPr>
                                <a:xfrm rot="-5399999">
                                  <a:off x="-522913" y="328949"/>
                                  <a:ext cx="1353578" cy="307749"/>
                                </a:xfrm>
                                <a:prstGeom prst="rect">
                                  <a:avLst/>
                                </a:prstGeom>
                                <a:ln>
                                  <a:noFill/>
                                </a:ln>
                              </wps:spPr>
                              <wps:txbx>
                                <w:txbxContent>
                                  <w:p w14:paraId="2248EB36" w14:textId="77777777" w:rsidR="00736494" w:rsidRDefault="009156A5">
                                    <w:r>
                                      <w:rPr>
                                        <w:rFonts w:ascii="Corbel" w:eastAsia="Corbel" w:hAnsi="Corbel" w:cs="Corbel"/>
                                        <w:b/>
                                        <w:color w:val="363636"/>
                                        <w:sz w:val="36"/>
                                      </w:rPr>
                                      <w:t>Provisions</w:t>
                                    </w:r>
                                  </w:p>
                                </w:txbxContent>
                              </wps:txbx>
                              <wps:bodyPr horzOverflow="overflow" vert="horz" lIns="0" tIns="0" rIns="0" bIns="0" rtlCol="0">
                                <a:noAutofit/>
                              </wps:bodyPr>
                            </wps:wsp>
                            <wps:wsp>
                              <wps:cNvPr id="2294" name="Rectangle 2294"/>
                              <wps:cNvSpPr/>
                              <wps:spPr>
                                <a:xfrm rot="-5399999">
                                  <a:off x="91040" y="-75129"/>
                                  <a:ext cx="125669" cy="307749"/>
                                </a:xfrm>
                                <a:prstGeom prst="rect">
                                  <a:avLst/>
                                </a:prstGeom>
                                <a:ln>
                                  <a:noFill/>
                                </a:ln>
                              </wps:spPr>
                              <wps:txbx>
                                <w:txbxContent>
                                  <w:p w14:paraId="22E64E30"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s:wsp>
                              <wps:cNvPr id="2295" name="Rectangle 2295"/>
                              <wps:cNvSpPr/>
                              <wps:spPr>
                                <a:xfrm rot="-5399999">
                                  <a:off x="122559" y="-138098"/>
                                  <a:ext cx="62632" cy="307749"/>
                                </a:xfrm>
                                <a:prstGeom prst="rect">
                                  <a:avLst/>
                                </a:prstGeom>
                                <a:ln>
                                  <a:noFill/>
                                </a:ln>
                              </wps:spPr>
                              <wps:txbx>
                                <w:txbxContent>
                                  <w:p w14:paraId="077F7F9A"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6290" style="width:18.2197pt;height:165.248pt;mso-position-horizontal-relative:char;mso-position-vertical-relative:line" coordsize="2313,20986">
                      <v:rect id="Rectangle 2291" style="position:absolute;width:11851;height:3077;left:-4386;top:13522;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Required</w:t>
                              </w:r>
                            </w:p>
                          </w:txbxContent>
                        </v:textbox>
                      </v:rect>
                      <v:rect id="Rectangle 2292" style="position:absolute;width:626;height:3077;left:1225;top:10216;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rect id="Rectangle 2293" style="position:absolute;width:13535;height:3077;left:-5229;top:3289;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Provisions</w:t>
                              </w:r>
                            </w:p>
                          </w:txbxContent>
                        </v:textbox>
                      </v:rect>
                      <v:rect id="Rectangle 2294" style="position:absolute;width:1256;height:3077;left:910;top:-751;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rect id="Rectangle 2295" style="position:absolute;width:626;height:3077;left:1225;top:-138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group>
                  </w:pict>
                </mc:Fallback>
              </mc:AlternateContent>
            </w:r>
          </w:p>
        </w:tc>
        <w:tc>
          <w:tcPr>
            <w:tcW w:w="2108" w:type="dxa"/>
            <w:tcBorders>
              <w:top w:val="single" w:sz="4" w:space="0" w:color="000000"/>
              <w:left w:val="single" w:sz="4" w:space="0" w:color="000000"/>
              <w:bottom w:val="single" w:sz="4" w:space="0" w:color="000000"/>
              <w:right w:val="single" w:sz="4" w:space="0" w:color="000000"/>
            </w:tcBorders>
          </w:tcPr>
          <w:p w14:paraId="5FD9E2C4" w14:textId="77777777" w:rsidR="00736494" w:rsidRDefault="009156A5">
            <w:pPr>
              <w:spacing w:after="28"/>
              <w:ind w:right="21"/>
              <w:jc w:val="center"/>
            </w:pPr>
            <w:r>
              <w:rPr>
                <w:rFonts w:ascii="Corbel" w:eastAsia="Corbel" w:hAnsi="Corbel" w:cs="Corbel"/>
                <w:b/>
                <w:color w:val="363636"/>
                <w:sz w:val="28"/>
              </w:rPr>
              <w:t xml:space="preserve">Allowed By </w:t>
            </w:r>
          </w:p>
          <w:p w14:paraId="44DD5032" w14:textId="77777777" w:rsidR="00736494" w:rsidRDefault="009156A5">
            <w:pPr>
              <w:ind w:right="19"/>
              <w:jc w:val="center"/>
            </w:pPr>
            <w:r>
              <w:rPr>
                <w:rFonts w:ascii="Corbel" w:eastAsia="Corbel" w:hAnsi="Corbel" w:cs="Corbel"/>
                <w:b/>
                <w:color w:val="363636"/>
                <w:sz w:val="28"/>
              </w:rPr>
              <w:t xml:space="preserve">Right </w:t>
            </w:r>
          </w:p>
        </w:tc>
        <w:tc>
          <w:tcPr>
            <w:tcW w:w="6848" w:type="dxa"/>
            <w:tcBorders>
              <w:top w:val="single" w:sz="4" w:space="0" w:color="000000"/>
              <w:left w:val="single" w:sz="4" w:space="0" w:color="000000"/>
              <w:bottom w:val="single" w:sz="4" w:space="0" w:color="000000"/>
              <w:right w:val="single" w:sz="4" w:space="0" w:color="000000"/>
            </w:tcBorders>
            <w:vAlign w:val="bottom"/>
          </w:tcPr>
          <w:p w14:paraId="795A6394" w14:textId="77777777" w:rsidR="00736494" w:rsidRDefault="009156A5">
            <w:pPr>
              <w:spacing w:after="77" w:line="242" w:lineRule="auto"/>
              <w:ind w:left="737" w:hanging="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Arial" w:eastAsia="Arial" w:hAnsi="Arial" w:cs="Arial"/>
                <w:color w:val="363636"/>
                <w:sz w:val="21"/>
              </w:rPr>
              <w:tab/>
            </w:r>
            <w:r>
              <w:rPr>
                <w:rFonts w:ascii="Corbel" w:eastAsia="Corbel" w:hAnsi="Corbel" w:cs="Corbel"/>
                <w:b/>
                <w:color w:val="363636"/>
                <w:sz w:val="21"/>
              </w:rPr>
              <w:t xml:space="preserve">Allow Accessory Dwellings by right within any zone that permits single-unit detached residential development   </w:t>
            </w:r>
          </w:p>
          <w:p w14:paraId="1BAB27AB" w14:textId="77777777" w:rsidR="00736494" w:rsidRDefault="009156A5">
            <w:pPr>
              <w:spacing w:line="238" w:lineRule="auto"/>
              <w:ind w:left="98"/>
            </w:pPr>
            <w:r>
              <w:rPr>
                <w:rFonts w:ascii="Corbel" w:eastAsia="Corbel" w:hAnsi="Corbel" w:cs="Corbel"/>
                <w:i/>
                <w:color w:val="363636"/>
                <w:sz w:val="21"/>
              </w:rPr>
              <w:t>Comment</w:t>
            </w:r>
            <w:r>
              <w:rPr>
                <w:rFonts w:ascii="Corbel" w:eastAsia="Corbel" w:hAnsi="Corbel" w:cs="Corbel"/>
                <w:color w:val="363636"/>
                <w:sz w:val="21"/>
              </w:rPr>
              <w:t xml:space="preserve">:  ADU’s must be allowed on lots with </w:t>
            </w:r>
            <w:r>
              <w:rPr>
                <w:rFonts w:ascii="Corbel" w:eastAsia="Corbel" w:hAnsi="Corbel" w:cs="Corbel"/>
                <w:i/>
                <w:color w:val="363636"/>
                <w:sz w:val="21"/>
              </w:rPr>
              <w:t>detached</w:t>
            </w:r>
            <w:r>
              <w:rPr>
                <w:rFonts w:ascii="Corbel" w:eastAsia="Corbel" w:hAnsi="Corbel" w:cs="Corbel"/>
                <w:color w:val="363636"/>
                <w:sz w:val="21"/>
              </w:rPr>
              <w:t xml:space="preserve"> single-family dwelling units.  Some jurisdictions may want to consider allowing ADU’s with attached (townhome), and duplex units, where adequate vehicular access and parking can be provided. </w:t>
            </w:r>
          </w:p>
          <w:p w14:paraId="101D8B30" w14:textId="77777777" w:rsidR="00736494" w:rsidRDefault="009156A5">
            <w:pPr>
              <w:ind w:left="17"/>
            </w:pPr>
            <w:r>
              <w:rPr>
                <w:rFonts w:ascii="Corbel" w:eastAsia="Corbel" w:hAnsi="Corbel" w:cs="Corbel"/>
                <w:color w:val="363636"/>
                <w:sz w:val="21"/>
              </w:rPr>
              <w:t xml:space="preserve"> </w:t>
            </w:r>
          </w:p>
        </w:tc>
      </w:tr>
      <w:tr w:rsidR="00736494" w14:paraId="2ACFCD94" w14:textId="77777777">
        <w:trPr>
          <w:trHeight w:val="2617"/>
        </w:trPr>
        <w:tc>
          <w:tcPr>
            <w:tcW w:w="0" w:type="auto"/>
            <w:vMerge/>
            <w:tcBorders>
              <w:top w:val="nil"/>
              <w:left w:val="single" w:sz="4" w:space="0" w:color="000000"/>
              <w:bottom w:val="nil"/>
              <w:right w:val="single" w:sz="4" w:space="0" w:color="000000"/>
            </w:tcBorders>
          </w:tcPr>
          <w:p w14:paraId="12D065A3" w14:textId="77777777" w:rsidR="00736494" w:rsidRDefault="00736494"/>
        </w:tc>
        <w:tc>
          <w:tcPr>
            <w:tcW w:w="2108" w:type="dxa"/>
            <w:tcBorders>
              <w:top w:val="single" w:sz="4" w:space="0" w:color="000000"/>
              <w:left w:val="single" w:sz="4" w:space="0" w:color="000000"/>
              <w:bottom w:val="single" w:sz="4" w:space="0" w:color="000000"/>
              <w:right w:val="single" w:sz="4" w:space="0" w:color="000000"/>
            </w:tcBorders>
          </w:tcPr>
          <w:p w14:paraId="5FD7DEA7" w14:textId="77777777" w:rsidR="00736494" w:rsidRDefault="009156A5">
            <w:pPr>
              <w:ind w:left="130"/>
            </w:pPr>
            <w:r>
              <w:rPr>
                <w:rFonts w:ascii="Corbel" w:eastAsia="Corbel" w:hAnsi="Corbel" w:cs="Corbel"/>
                <w:b/>
                <w:color w:val="363636"/>
                <w:sz w:val="28"/>
              </w:rPr>
              <w:t xml:space="preserve">No Density or </w:t>
            </w:r>
          </w:p>
          <w:p w14:paraId="77858E99" w14:textId="77777777" w:rsidR="00736494" w:rsidRDefault="009156A5">
            <w:pPr>
              <w:ind w:right="22"/>
              <w:jc w:val="center"/>
            </w:pPr>
            <w:r>
              <w:rPr>
                <w:rFonts w:ascii="Corbel" w:eastAsia="Corbel" w:hAnsi="Corbel" w:cs="Corbel"/>
                <w:b/>
                <w:color w:val="363636"/>
                <w:sz w:val="28"/>
              </w:rPr>
              <w:t xml:space="preserve">Growth </w:t>
            </w:r>
          </w:p>
          <w:p w14:paraId="59BC6CEE" w14:textId="77777777" w:rsidR="00736494" w:rsidRDefault="009156A5">
            <w:pPr>
              <w:ind w:right="21"/>
              <w:jc w:val="center"/>
            </w:pPr>
            <w:r>
              <w:rPr>
                <w:rFonts w:ascii="Corbel" w:eastAsia="Corbel" w:hAnsi="Corbel" w:cs="Corbel"/>
                <w:b/>
                <w:color w:val="363636"/>
                <w:sz w:val="28"/>
              </w:rPr>
              <w:t xml:space="preserve">Restrictions </w:t>
            </w:r>
          </w:p>
        </w:tc>
        <w:tc>
          <w:tcPr>
            <w:tcW w:w="6848" w:type="dxa"/>
            <w:tcBorders>
              <w:top w:val="single" w:sz="4" w:space="0" w:color="000000"/>
              <w:left w:val="single" w:sz="4" w:space="0" w:color="000000"/>
              <w:bottom w:val="single" w:sz="4" w:space="0" w:color="000000"/>
              <w:right w:val="single" w:sz="4" w:space="0" w:color="000000"/>
            </w:tcBorders>
            <w:vAlign w:val="bottom"/>
          </w:tcPr>
          <w:p w14:paraId="2CABCF4A" w14:textId="77777777" w:rsidR="00736494" w:rsidRDefault="009156A5">
            <w:pPr>
              <w:tabs>
                <w:tab w:val="center" w:pos="425"/>
                <w:tab w:val="center" w:pos="3431"/>
              </w:tabs>
              <w:spacing w:after="31"/>
            </w:pPr>
            <w:r>
              <w:tab/>
            </w: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Arial" w:eastAsia="Arial" w:hAnsi="Arial" w:cs="Arial"/>
                <w:color w:val="363636"/>
                <w:sz w:val="21"/>
              </w:rPr>
              <w:tab/>
            </w:r>
            <w:r>
              <w:rPr>
                <w:rFonts w:ascii="Corbel" w:eastAsia="Corbel" w:hAnsi="Corbel" w:cs="Corbel"/>
                <w:b/>
                <w:color w:val="363636"/>
                <w:sz w:val="21"/>
              </w:rPr>
              <w:t xml:space="preserve">A local jurisdiction may </w:t>
            </w:r>
            <w:r>
              <w:rPr>
                <w:rFonts w:ascii="Corbel" w:eastAsia="Corbel" w:hAnsi="Corbel" w:cs="Corbel"/>
                <w:b/>
                <w:color w:val="363636"/>
                <w:sz w:val="21"/>
                <w:u w:val="single" w:color="363636"/>
              </w:rPr>
              <w:t>not</w:t>
            </w:r>
            <w:r>
              <w:rPr>
                <w:rFonts w:ascii="Corbel" w:eastAsia="Corbel" w:hAnsi="Corbel" w:cs="Corbel"/>
                <w:b/>
                <w:color w:val="363636"/>
                <w:sz w:val="21"/>
              </w:rPr>
              <w:t xml:space="preserve"> regulate or restrict ADU’s using: </w:t>
            </w:r>
          </w:p>
          <w:p w14:paraId="563C01C7" w14:textId="77777777" w:rsidR="00736494" w:rsidRDefault="009156A5">
            <w:pPr>
              <w:numPr>
                <w:ilvl w:val="0"/>
                <w:numId w:val="35"/>
              </w:numPr>
              <w:spacing w:after="77" w:line="242" w:lineRule="auto"/>
              <w:ind w:hanging="269"/>
            </w:pPr>
            <w:r>
              <w:rPr>
                <w:rFonts w:ascii="Corbel" w:eastAsia="Corbel" w:hAnsi="Corbel" w:cs="Corbel"/>
                <w:b/>
                <w:color w:val="363636"/>
                <w:sz w:val="21"/>
              </w:rPr>
              <w:t>Residential density restrictions. (</w:t>
            </w:r>
            <w:r>
              <w:rPr>
                <w:rFonts w:ascii="Corbel" w:eastAsia="Corbel" w:hAnsi="Corbel" w:cs="Corbel"/>
                <w:color w:val="363636"/>
                <w:sz w:val="21"/>
              </w:rPr>
              <w:t xml:space="preserve">For example, an accessory dwelling on a lot with a primary dwelling unit, shall </w:t>
            </w:r>
            <w:r>
              <w:rPr>
                <w:rFonts w:ascii="Corbel" w:eastAsia="Corbel" w:hAnsi="Corbel" w:cs="Corbel"/>
                <w:i/>
                <w:color w:val="363636"/>
                <w:sz w:val="21"/>
                <w:u w:val="single" w:color="363636"/>
              </w:rPr>
              <w:t>not</w:t>
            </w:r>
            <w:r>
              <w:rPr>
                <w:rFonts w:ascii="Corbel" w:eastAsia="Corbel" w:hAnsi="Corbel" w:cs="Corbel"/>
                <w:color w:val="363636"/>
                <w:sz w:val="21"/>
              </w:rPr>
              <w:t xml:space="preserve"> count as a dwelling unit for purposes of calculating housing density.)</w:t>
            </w:r>
            <w:r>
              <w:rPr>
                <w:rFonts w:ascii="Corbel" w:eastAsia="Corbel" w:hAnsi="Corbel" w:cs="Corbel"/>
                <w:b/>
                <w:color w:val="363636"/>
                <w:sz w:val="21"/>
              </w:rPr>
              <w:t xml:space="preserve"> </w:t>
            </w:r>
          </w:p>
          <w:p w14:paraId="571D1C76" w14:textId="77777777" w:rsidR="00736494" w:rsidRDefault="009156A5">
            <w:pPr>
              <w:numPr>
                <w:ilvl w:val="0"/>
                <w:numId w:val="35"/>
              </w:numPr>
              <w:spacing w:after="64"/>
              <w:ind w:hanging="269"/>
            </w:pPr>
            <w:r>
              <w:rPr>
                <w:rFonts w:ascii="Corbel" w:eastAsia="Corbel" w:hAnsi="Corbel" w:cs="Corbel"/>
                <w:b/>
                <w:sz w:val="21"/>
              </w:rPr>
              <w:t xml:space="preserve">Residential growth limitation measures  </w:t>
            </w:r>
            <w:r>
              <w:rPr>
                <w:rFonts w:ascii="Corbel" w:eastAsia="Corbel" w:hAnsi="Corbel" w:cs="Corbel"/>
                <w:color w:val="363636"/>
                <w:sz w:val="21"/>
              </w:rPr>
              <w:t xml:space="preserve"> </w:t>
            </w:r>
          </w:p>
          <w:p w14:paraId="12D9CDA9" w14:textId="77777777" w:rsidR="00736494" w:rsidRDefault="009156A5">
            <w:pPr>
              <w:spacing w:after="79" w:line="239" w:lineRule="auto"/>
              <w:ind w:left="98"/>
            </w:pPr>
            <w:r>
              <w:rPr>
                <w:rFonts w:ascii="Corbel" w:eastAsia="Corbel" w:hAnsi="Corbel" w:cs="Corbel"/>
                <w:i/>
                <w:color w:val="363636"/>
                <w:sz w:val="21"/>
              </w:rPr>
              <w:t>Comment</w:t>
            </w:r>
            <w:r>
              <w:rPr>
                <w:rFonts w:ascii="Corbel" w:eastAsia="Corbel" w:hAnsi="Corbel" w:cs="Corbel"/>
                <w:color w:val="363636"/>
                <w:sz w:val="21"/>
              </w:rPr>
              <w:t xml:space="preserve">:  An accessory dwelling is treated as an allowable accessory use or structure, associated with the primary residential structure. </w:t>
            </w:r>
          </w:p>
          <w:p w14:paraId="48B38A5C" w14:textId="77777777" w:rsidR="00736494" w:rsidRDefault="009156A5">
            <w:pPr>
              <w:ind w:left="98"/>
            </w:pPr>
            <w:r>
              <w:rPr>
                <w:rFonts w:ascii="Corbel" w:eastAsia="Corbel" w:hAnsi="Corbel" w:cs="Corbel"/>
                <w:color w:val="363636"/>
                <w:sz w:val="21"/>
              </w:rPr>
              <w:t xml:space="preserve"> </w:t>
            </w:r>
          </w:p>
        </w:tc>
      </w:tr>
      <w:tr w:rsidR="00736494" w14:paraId="112D06CC" w14:textId="77777777">
        <w:trPr>
          <w:trHeight w:val="1289"/>
        </w:trPr>
        <w:tc>
          <w:tcPr>
            <w:tcW w:w="0" w:type="auto"/>
            <w:vMerge/>
            <w:tcBorders>
              <w:top w:val="nil"/>
              <w:left w:val="single" w:sz="4" w:space="0" w:color="000000"/>
              <w:bottom w:val="nil"/>
              <w:right w:val="single" w:sz="4" w:space="0" w:color="000000"/>
            </w:tcBorders>
          </w:tcPr>
          <w:p w14:paraId="010E7EA9" w14:textId="77777777" w:rsidR="00736494" w:rsidRDefault="00736494"/>
        </w:tc>
        <w:tc>
          <w:tcPr>
            <w:tcW w:w="2108" w:type="dxa"/>
            <w:tcBorders>
              <w:top w:val="single" w:sz="4" w:space="0" w:color="000000"/>
              <w:left w:val="single" w:sz="4" w:space="0" w:color="000000"/>
              <w:bottom w:val="single" w:sz="4" w:space="0" w:color="000000"/>
              <w:right w:val="single" w:sz="4" w:space="0" w:color="000000"/>
            </w:tcBorders>
            <w:vAlign w:val="center"/>
          </w:tcPr>
          <w:p w14:paraId="241DCF58" w14:textId="77777777" w:rsidR="00736494" w:rsidRDefault="009156A5">
            <w:pPr>
              <w:spacing w:line="239" w:lineRule="auto"/>
              <w:jc w:val="center"/>
            </w:pPr>
            <w:r>
              <w:rPr>
                <w:rFonts w:ascii="Corbel" w:eastAsia="Corbel" w:hAnsi="Corbel" w:cs="Corbel"/>
                <w:b/>
                <w:color w:val="363636"/>
                <w:sz w:val="28"/>
              </w:rPr>
              <w:t xml:space="preserve">Must Comply with Safety &amp; </w:t>
            </w:r>
          </w:p>
          <w:p w14:paraId="26A8346B" w14:textId="77777777" w:rsidR="00736494" w:rsidRDefault="009156A5">
            <w:pPr>
              <w:ind w:left="62"/>
            </w:pPr>
            <w:r>
              <w:rPr>
                <w:rFonts w:ascii="Corbel" w:eastAsia="Corbel" w:hAnsi="Corbel" w:cs="Corbel"/>
                <w:b/>
                <w:color w:val="363636"/>
                <w:sz w:val="28"/>
              </w:rPr>
              <w:t xml:space="preserve">Building Codes </w:t>
            </w:r>
          </w:p>
        </w:tc>
        <w:tc>
          <w:tcPr>
            <w:tcW w:w="6848" w:type="dxa"/>
            <w:tcBorders>
              <w:top w:val="single" w:sz="4" w:space="0" w:color="000000"/>
              <w:left w:val="single" w:sz="4" w:space="0" w:color="000000"/>
              <w:bottom w:val="single" w:sz="4" w:space="0" w:color="000000"/>
              <w:right w:val="single" w:sz="4" w:space="0" w:color="000000"/>
            </w:tcBorders>
            <w:vAlign w:val="bottom"/>
          </w:tcPr>
          <w:p w14:paraId="1DEFBCDC" w14:textId="77777777" w:rsidR="00736494" w:rsidRDefault="009156A5">
            <w:pPr>
              <w:ind w:left="720" w:hanging="360"/>
            </w:pPr>
            <w:r>
              <w:rPr>
                <w:rFonts w:ascii="Segoe UI Symbol" w:eastAsia="Segoe UI Symbol" w:hAnsi="Segoe UI Symbol" w:cs="Segoe UI Symbol"/>
                <w:sz w:val="21"/>
              </w:rPr>
              <w:t>•</w:t>
            </w:r>
            <w:r>
              <w:rPr>
                <w:rFonts w:ascii="Arial" w:eastAsia="Arial" w:hAnsi="Arial" w:cs="Arial"/>
                <w:sz w:val="21"/>
              </w:rPr>
              <w:t xml:space="preserve"> </w:t>
            </w:r>
            <w:r>
              <w:rPr>
                <w:rFonts w:ascii="Arial" w:eastAsia="Arial" w:hAnsi="Arial" w:cs="Arial"/>
                <w:sz w:val="21"/>
              </w:rPr>
              <w:tab/>
            </w:r>
            <w:r>
              <w:rPr>
                <w:rFonts w:ascii="Corbel" w:eastAsia="Corbel" w:hAnsi="Corbel" w:cs="Corbel"/>
                <w:b/>
                <w:sz w:val="21"/>
              </w:rPr>
              <w:t>Must provide for construction of ADUs that meet public health, safety, and welfare standards, including relevant building codes and adequate public facilities provisions.</w:t>
            </w:r>
            <w:r>
              <w:rPr>
                <w:rFonts w:ascii="Corbel" w:eastAsia="Corbel" w:hAnsi="Corbel" w:cs="Corbel"/>
                <w:sz w:val="21"/>
              </w:rPr>
              <w:t xml:space="preserve"> </w:t>
            </w:r>
          </w:p>
        </w:tc>
      </w:tr>
      <w:tr w:rsidR="00736494" w14:paraId="58C1EB13" w14:textId="77777777">
        <w:trPr>
          <w:trHeight w:val="2633"/>
        </w:trPr>
        <w:tc>
          <w:tcPr>
            <w:tcW w:w="0" w:type="auto"/>
            <w:vMerge/>
            <w:tcBorders>
              <w:top w:val="nil"/>
              <w:left w:val="single" w:sz="4" w:space="0" w:color="000000"/>
              <w:bottom w:val="nil"/>
              <w:right w:val="single" w:sz="4" w:space="0" w:color="000000"/>
            </w:tcBorders>
          </w:tcPr>
          <w:p w14:paraId="076A8B27" w14:textId="77777777" w:rsidR="00736494" w:rsidRDefault="00736494"/>
        </w:tc>
        <w:tc>
          <w:tcPr>
            <w:tcW w:w="2108" w:type="dxa"/>
            <w:tcBorders>
              <w:top w:val="single" w:sz="4" w:space="0" w:color="000000"/>
              <w:left w:val="single" w:sz="4" w:space="0" w:color="000000"/>
              <w:bottom w:val="single" w:sz="4" w:space="0" w:color="000000"/>
              <w:right w:val="single" w:sz="4" w:space="0" w:color="000000"/>
            </w:tcBorders>
          </w:tcPr>
          <w:p w14:paraId="1D691A7E" w14:textId="77777777" w:rsidR="00736494" w:rsidRDefault="009156A5">
            <w:pPr>
              <w:ind w:left="37"/>
              <w:jc w:val="center"/>
            </w:pPr>
            <w:r>
              <w:rPr>
                <w:rFonts w:ascii="Corbel" w:eastAsia="Corbel" w:hAnsi="Corbel" w:cs="Corbel"/>
                <w:b/>
                <w:color w:val="363636"/>
                <w:sz w:val="28"/>
              </w:rPr>
              <w:t xml:space="preserve"> </w:t>
            </w:r>
          </w:p>
          <w:p w14:paraId="642A2242" w14:textId="77777777" w:rsidR="00736494" w:rsidRDefault="009156A5">
            <w:pPr>
              <w:ind w:left="38"/>
              <w:jc w:val="both"/>
            </w:pPr>
            <w:r>
              <w:rPr>
                <w:rFonts w:ascii="Corbel" w:eastAsia="Corbel" w:hAnsi="Corbel" w:cs="Corbel"/>
                <w:b/>
                <w:color w:val="363636"/>
                <w:sz w:val="28"/>
              </w:rPr>
              <w:t xml:space="preserve">Setbacks Same </w:t>
            </w:r>
          </w:p>
          <w:p w14:paraId="3F71354D" w14:textId="77777777" w:rsidR="00736494" w:rsidRDefault="009156A5">
            <w:pPr>
              <w:ind w:right="21"/>
              <w:jc w:val="center"/>
            </w:pPr>
            <w:r>
              <w:rPr>
                <w:rFonts w:ascii="Corbel" w:eastAsia="Corbel" w:hAnsi="Corbel" w:cs="Corbel"/>
                <w:b/>
                <w:color w:val="363636"/>
                <w:sz w:val="28"/>
              </w:rPr>
              <w:t xml:space="preserve">As Accessory </w:t>
            </w:r>
          </w:p>
          <w:p w14:paraId="75169BBE" w14:textId="77777777" w:rsidR="00736494" w:rsidRDefault="009156A5">
            <w:pPr>
              <w:ind w:left="154"/>
            </w:pPr>
            <w:r>
              <w:rPr>
                <w:rFonts w:ascii="Corbel" w:eastAsia="Corbel" w:hAnsi="Corbel" w:cs="Corbel"/>
                <w:b/>
                <w:color w:val="363636"/>
                <w:sz w:val="28"/>
              </w:rPr>
              <w:t xml:space="preserve">Use Setbacks </w:t>
            </w:r>
          </w:p>
        </w:tc>
        <w:tc>
          <w:tcPr>
            <w:tcW w:w="6848" w:type="dxa"/>
            <w:tcBorders>
              <w:top w:val="single" w:sz="4" w:space="0" w:color="000000"/>
              <w:left w:val="single" w:sz="4" w:space="0" w:color="000000"/>
              <w:bottom w:val="single" w:sz="4" w:space="0" w:color="000000"/>
              <w:right w:val="single" w:sz="4" w:space="0" w:color="000000"/>
            </w:tcBorders>
            <w:vAlign w:val="bottom"/>
          </w:tcPr>
          <w:p w14:paraId="7F61C0E1" w14:textId="77777777" w:rsidR="00736494" w:rsidRDefault="009156A5">
            <w:pPr>
              <w:spacing w:after="79" w:line="239" w:lineRule="auto"/>
              <w:ind w:left="720" w:hanging="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Arial" w:eastAsia="Arial" w:hAnsi="Arial" w:cs="Arial"/>
                <w:color w:val="363636"/>
                <w:sz w:val="21"/>
              </w:rPr>
              <w:tab/>
            </w:r>
            <w:r>
              <w:rPr>
                <w:rFonts w:ascii="Corbel" w:eastAsia="Corbel" w:hAnsi="Corbel" w:cs="Corbel"/>
                <w:b/>
                <w:color w:val="363636"/>
                <w:sz w:val="21"/>
              </w:rPr>
              <w:t xml:space="preserve">May not require side or rear yard setbacks that are greater than the side and rear yard setbacks for accessory structures in the applicable zoning district. </w:t>
            </w:r>
          </w:p>
          <w:p w14:paraId="6431777D" w14:textId="77777777" w:rsidR="00736494" w:rsidRDefault="009156A5">
            <w:r>
              <w:rPr>
                <w:rFonts w:ascii="Corbel" w:eastAsia="Corbel" w:hAnsi="Corbel" w:cs="Corbel"/>
                <w:i/>
                <w:color w:val="363636"/>
                <w:sz w:val="21"/>
              </w:rPr>
              <w:t>Comment</w:t>
            </w:r>
            <w:r>
              <w:rPr>
                <w:rFonts w:ascii="Corbel" w:eastAsia="Corbel" w:hAnsi="Corbel" w:cs="Corbel"/>
                <w:color w:val="363636"/>
                <w:sz w:val="21"/>
              </w:rPr>
              <w:t xml:space="preserve">:  In determining setbacks for detached ADUs, many jurisdictions have used five feet as the minimum separation between the ADU structure and the property line so that the accessory dwelling structure does not have to meet building code standard fire-resistance rating requirements. Also, a five-foot setback option allows for more windows and flexibility in window placement. </w:t>
            </w:r>
          </w:p>
        </w:tc>
      </w:tr>
      <w:tr w:rsidR="00736494" w14:paraId="699C9AF7" w14:textId="77777777">
        <w:trPr>
          <w:trHeight w:val="2781"/>
        </w:trPr>
        <w:tc>
          <w:tcPr>
            <w:tcW w:w="0" w:type="auto"/>
            <w:vMerge/>
            <w:tcBorders>
              <w:top w:val="nil"/>
              <w:left w:val="single" w:sz="4" w:space="0" w:color="000000"/>
              <w:bottom w:val="single" w:sz="4" w:space="0" w:color="000000"/>
              <w:right w:val="single" w:sz="4" w:space="0" w:color="000000"/>
            </w:tcBorders>
          </w:tcPr>
          <w:p w14:paraId="22640AA0" w14:textId="77777777" w:rsidR="00736494" w:rsidRDefault="00736494"/>
        </w:tc>
        <w:tc>
          <w:tcPr>
            <w:tcW w:w="2108" w:type="dxa"/>
            <w:tcBorders>
              <w:top w:val="single" w:sz="4" w:space="0" w:color="000000"/>
              <w:left w:val="single" w:sz="4" w:space="0" w:color="000000"/>
              <w:bottom w:val="single" w:sz="4" w:space="0" w:color="000000"/>
              <w:right w:val="single" w:sz="4" w:space="0" w:color="000000"/>
            </w:tcBorders>
          </w:tcPr>
          <w:p w14:paraId="72F863FA" w14:textId="77777777" w:rsidR="00736494" w:rsidRDefault="009156A5">
            <w:pPr>
              <w:ind w:left="41"/>
            </w:pPr>
            <w:r>
              <w:rPr>
                <w:rFonts w:ascii="Corbel" w:eastAsia="Corbel" w:hAnsi="Corbel" w:cs="Corbel"/>
                <w:b/>
                <w:color w:val="363636"/>
                <w:sz w:val="28"/>
              </w:rPr>
              <w:t xml:space="preserve">ADU Definition </w:t>
            </w:r>
          </w:p>
        </w:tc>
        <w:tc>
          <w:tcPr>
            <w:tcW w:w="6848" w:type="dxa"/>
            <w:tcBorders>
              <w:top w:val="single" w:sz="4" w:space="0" w:color="000000"/>
              <w:left w:val="single" w:sz="4" w:space="0" w:color="000000"/>
              <w:bottom w:val="single" w:sz="4" w:space="0" w:color="000000"/>
              <w:right w:val="single" w:sz="4" w:space="0" w:color="000000"/>
            </w:tcBorders>
            <w:vAlign w:val="center"/>
          </w:tcPr>
          <w:p w14:paraId="3E207571" w14:textId="77777777" w:rsidR="00736494" w:rsidRDefault="009156A5">
            <w:pPr>
              <w:spacing w:after="58"/>
              <w:ind w:left="17"/>
            </w:pPr>
            <w:r>
              <w:rPr>
                <w:rFonts w:ascii="Corbel" w:eastAsia="Corbel" w:hAnsi="Corbel" w:cs="Corbel"/>
                <w:b/>
                <w:sz w:val="21"/>
              </w:rPr>
              <w:t xml:space="preserve">An “Accessory Dwelling Unit” (ADU) is a secondary dwelling unit that is: </w:t>
            </w:r>
          </w:p>
          <w:p w14:paraId="7E464132" w14:textId="77777777" w:rsidR="00736494" w:rsidRDefault="009156A5">
            <w:pPr>
              <w:numPr>
                <w:ilvl w:val="0"/>
                <w:numId w:val="36"/>
              </w:numPr>
              <w:spacing w:after="80" w:line="239" w:lineRule="auto"/>
              <w:ind w:hanging="360"/>
            </w:pPr>
            <w:r>
              <w:rPr>
                <w:rFonts w:ascii="Corbel" w:eastAsia="Corbel" w:hAnsi="Corbel" w:cs="Corbel"/>
                <w:b/>
                <w:sz w:val="21"/>
              </w:rPr>
              <w:t xml:space="preserve">on the same lot, parcel, or tract as a primary single-family detached dwelling unit, and  </w:t>
            </w:r>
          </w:p>
          <w:p w14:paraId="68401080" w14:textId="77777777" w:rsidR="00736494" w:rsidRDefault="009156A5">
            <w:pPr>
              <w:numPr>
                <w:ilvl w:val="0"/>
                <w:numId w:val="36"/>
              </w:numPr>
              <w:spacing w:after="79" w:line="239" w:lineRule="auto"/>
              <w:ind w:hanging="360"/>
            </w:pPr>
            <w:r>
              <w:rPr>
                <w:rFonts w:ascii="Corbel" w:eastAsia="Corbel" w:hAnsi="Corbel" w:cs="Corbel"/>
                <w:b/>
                <w:sz w:val="21"/>
              </w:rPr>
              <w:t xml:space="preserve">has a gross floor area not greater than 75% of the size of the primary single-family detached dwelling unit. </w:t>
            </w:r>
          </w:p>
          <w:p w14:paraId="7CC5E9B8" w14:textId="77777777" w:rsidR="00736494" w:rsidRDefault="009156A5">
            <w:pPr>
              <w:numPr>
                <w:ilvl w:val="0"/>
                <w:numId w:val="36"/>
              </w:numPr>
              <w:spacing w:after="79" w:line="239" w:lineRule="auto"/>
              <w:ind w:hanging="360"/>
            </w:pPr>
            <w:r>
              <w:rPr>
                <w:rFonts w:ascii="Corbel" w:eastAsia="Corbel" w:hAnsi="Corbel" w:cs="Corbel"/>
                <w:b/>
                <w:sz w:val="21"/>
              </w:rPr>
              <w:t xml:space="preserve">is subordinate in use to the primary single-family detached dwelling unit.  </w:t>
            </w:r>
          </w:p>
          <w:p w14:paraId="4FA43546" w14:textId="77777777" w:rsidR="00736494" w:rsidRDefault="009156A5">
            <w:pPr>
              <w:ind w:left="17"/>
            </w:pPr>
            <w:r>
              <w:rPr>
                <w:rFonts w:ascii="Corbel" w:eastAsia="Corbel" w:hAnsi="Corbel" w:cs="Corbel"/>
                <w:i/>
                <w:color w:val="363636"/>
                <w:sz w:val="21"/>
              </w:rPr>
              <w:t>Comment</w:t>
            </w:r>
            <w:r>
              <w:rPr>
                <w:rFonts w:ascii="Corbel" w:eastAsia="Corbel" w:hAnsi="Corbel" w:cs="Corbel"/>
                <w:color w:val="363636"/>
                <w:sz w:val="21"/>
              </w:rPr>
              <w:t xml:space="preserve">:  Definition is from </w:t>
            </w:r>
            <w:r>
              <w:rPr>
                <w:rFonts w:ascii="Corbel" w:eastAsia="Corbel" w:hAnsi="Corbel" w:cs="Corbel"/>
                <w:i/>
                <w:color w:val="2C2C2C"/>
                <w:sz w:val="21"/>
              </w:rPr>
              <w:t>MD 2024 HB 1466/SB 891</w:t>
            </w:r>
            <w:r>
              <w:rPr>
                <w:rFonts w:ascii="Corbel" w:eastAsia="Corbel" w:hAnsi="Corbel" w:cs="Corbel"/>
                <w:color w:val="363636"/>
                <w:sz w:val="21"/>
              </w:rPr>
              <w:t xml:space="preserve"> </w:t>
            </w:r>
          </w:p>
        </w:tc>
      </w:tr>
    </w:tbl>
    <w:p w14:paraId="37F1DC15" w14:textId="77777777" w:rsidR="00736494" w:rsidRDefault="009156A5">
      <w:pPr>
        <w:pStyle w:val="Heading1"/>
        <w:ind w:left="-5"/>
      </w:pPr>
      <w:bookmarkStart w:id="3" w:name="_Toc37493"/>
      <w:r>
        <w:t xml:space="preserve">ADU Ordinance - Optional Provisions  </w:t>
      </w:r>
      <w:bookmarkEnd w:id="3"/>
    </w:p>
    <w:p w14:paraId="5494F01D" w14:textId="77777777" w:rsidR="00736494" w:rsidRDefault="009156A5">
      <w:pPr>
        <w:spacing w:after="101"/>
        <w:ind w:left="-29" w:right="-36"/>
      </w:pPr>
      <w:r>
        <w:rPr>
          <w:noProof/>
        </w:rPr>
        <mc:AlternateContent>
          <mc:Choice Requires="wpg">
            <w:drawing>
              <wp:inline distT="0" distB="0" distL="0" distR="0" wp14:anchorId="59481601" wp14:editId="3D811D13">
                <wp:extent cx="5981065" cy="6096"/>
                <wp:effectExtent l="0" t="0" r="0" b="0"/>
                <wp:docPr id="34896" name="Group 34896"/>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7959" name="Shape 37959"/>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inline>
            </w:drawing>
          </mc:Choice>
          <mc:Fallback xmlns:a="http://schemas.openxmlformats.org/drawingml/2006/main">
            <w:pict>
              <v:group id="Group 34896" style="width:470.95pt;height:0.47998pt;mso-position-horizontal-relative:char;mso-position-vertical-relative:line" coordsize="59810,60">
                <v:shape id="Shape 37960" style="position:absolute;width:59810;height:91;left:0;top:0;" coordsize="5981065,9144" path="m0,0l5981065,0l5981065,9144l0,9144l0,0">
                  <v:stroke weight="0pt" endcap="flat" joinstyle="miter" miterlimit="10" on="false" color="#000000" opacity="0"/>
                  <v:fill on="true" color="#ffc000"/>
                </v:shape>
              </v:group>
            </w:pict>
          </mc:Fallback>
        </mc:AlternateContent>
      </w:r>
    </w:p>
    <w:tbl>
      <w:tblPr>
        <w:tblStyle w:val="TableGrid"/>
        <w:tblW w:w="9536" w:type="dxa"/>
        <w:tblInd w:w="6" w:type="dxa"/>
        <w:tblCellMar>
          <w:top w:w="138" w:type="dxa"/>
          <w:left w:w="108" w:type="dxa"/>
          <w:bottom w:w="3" w:type="dxa"/>
          <w:right w:w="102" w:type="dxa"/>
        </w:tblCellMar>
        <w:tblLook w:val="04A0" w:firstRow="1" w:lastRow="0" w:firstColumn="1" w:lastColumn="0" w:noHBand="0" w:noVBand="1"/>
      </w:tblPr>
      <w:tblGrid>
        <w:gridCol w:w="671"/>
        <w:gridCol w:w="2108"/>
        <w:gridCol w:w="6757"/>
      </w:tblGrid>
      <w:tr w:rsidR="00736494" w14:paraId="3680B14B" w14:textId="77777777">
        <w:trPr>
          <w:trHeight w:val="7712"/>
        </w:trPr>
        <w:tc>
          <w:tcPr>
            <w:tcW w:w="671" w:type="dxa"/>
            <w:vMerge w:val="restart"/>
            <w:tcBorders>
              <w:top w:val="single" w:sz="4" w:space="0" w:color="000000"/>
              <w:left w:val="single" w:sz="4" w:space="0" w:color="000000"/>
              <w:bottom w:val="single" w:sz="4" w:space="0" w:color="000000"/>
              <w:right w:val="single" w:sz="4" w:space="0" w:color="000000"/>
            </w:tcBorders>
            <w:shd w:val="clear" w:color="auto" w:fill="DBEEA6"/>
          </w:tcPr>
          <w:p w14:paraId="70CC643F" w14:textId="77777777" w:rsidR="00736494" w:rsidRDefault="009156A5">
            <w:pPr>
              <w:ind w:left="81"/>
            </w:pPr>
            <w:r>
              <w:rPr>
                <w:noProof/>
              </w:rPr>
              <mc:AlternateContent>
                <mc:Choice Requires="wpg">
                  <w:drawing>
                    <wp:inline distT="0" distB="0" distL="0" distR="0" wp14:anchorId="1D452D48" wp14:editId="01E6F2A9">
                      <wp:extent cx="231391" cy="1957265"/>
                      <wp:effectExtent l="0" t="0" r="0" b="0"/>
                      <wp:docPr id="33362" name="Group 33362"/>
                      <wp:cNvGraphicFramePr/>
                      <a:graphic xmlns:a="http://schemas.openxmlformats.org/drawingml/2006/main">
                        <a:graphicData uri="http://schemas.microsoft.com/office/word/2010/wordprocessingGroup">
                          <wpg:wgp>
                            <wpg:cNvGrpSpPr/>
                            <wpg:grpSpPr>
                              <a:xfrm>
                                <a:off x="0" y="0"/>
                                <a:ext cx="231391" cy="1957265"/>
                                <a:chOff x="0" y="0"/>
                                <a:chExt cx="231391" cy="1957265"/>
                              </a:xfrm>
                            </wpg:grpSpPr>
                            <wps:wsp>
                              <wps:cNvPr id="2613" name="Rectangle 2613"/>
                              <wps:cNvSpPr/>
                              <wps:spPr>
                                <a:xfrm rot="-5399999">
                                  <a:off x="-420756" y="1228758"/>
                                  <a:ext cx="1149264" cy="307750"/>
                                </a:xfrm>
                                <a:prstGeom prst="rect">
                                  <a:avLst/>
                                </a:prstGeom>
                                <a:ln>
                                  <a:noFill/>
                                </a:ln>
                              </wps:spPr>
                              <wps:txbx>
                                <w:txbxContent>
                                  <w:p w14:paraId="0E472318" w14:textId="77777777" w:rsidR="00736494" w:rsidRDefault="009156A5">
                                    <w:r>
                                      <w:rPr>
                                        <w:rFonts w:ascii="Corbel" w:eastAsia="Corbel" w:hAnsi="Corbel" w:cs="Corbel"/>
                                        <w:b/>
                                        <w:color w:val="363636"/>
                                        <w:sz w:val="36"/>
                                      </w:rPr>
                                      <w:t>Optional</w:t>
                                    </w:r>
                                  </w:p>
                                </w:txbxContent>
                              </wps:txbx>
                              <wps:bodyPr horzOverflow="overflow" vert="horz" lIns="0" tIns="0" rIns="0" bIns="0" rtlCol="0">
                                <a:noAutofit/>
                              </wps:bodyPr>
                            </wps:wsp>
                            <wps:wsp>
                              <wps:cNvPr id="2614" name="Rectangle 2614"/>
                              <wps:cNvSpPr/>
                              <wps:spPr>
                                <a:xfrm rot="-5399999">
                                  <a:off x="122559" y="907712"/>
                                  <a:ext cx="62632" cy="307749"/>
                                </a:xfrm>
                                <a:prstGeom prst="rect">
                                  <a:avLst/>
                                </a:prstGeom>
                                <a:ln>
                                  <a:noFill/>
                                </a:ln>
                              </wps:spPr>
                              <wps:txbx>
                                <w:txbxContent>
                                  <w:p w14:paraId="36354197"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s:wsp>
                              <wps:cNvPr id="2615" name="Rectangle 2615"/>
                              <wps:cNvSpPr/>
                              <wps:spPr>
                                <a:xfrm rot="-5399999">
                                  <a:off x="-523065" y="214844"/>
                                  <a:ext cx="1353881" cy="307749"/>
                                </a:xfrm>
                                <a:prstGeom prst="rect">
                                  <a:avLst/>
                                </a:prstGeom>
                                <a:ln>
                                  <a:noFill/>
                                </a:ln>
                              </wps:spPr>
                              <wps:txbx>
                                <w:txbxContent>
                                  <w:p w14:paraId="1B3E95FA" w14:textId="77777777" w:rsidR="00736494" w:rsidRDefault="009156A5">
                                    <w:r>
                                      <w:rPr>
                                        <w:rFonts w:ascii="Corbel" w:eastAsia="Corbel" w:hAnsi="Corbel" w:cs="Corbel"/>
                                        <w:b/>
                                        <w:color w:val="363636"/>
                                        <w:sz w:val="36"/>
                                      </w:rPr>
                                      <w:t>Provisions</w:t>
                                    </w:r>
                                  </w:p>
                                </w:txbxContent>
                              </wps:txbx>
                              <wps:bodyPr horzOverflow="overflow" vert="horz" lIns="0" tIns="0" rIns="0" bIns="0" rtlCol="0">
                                <a:noAutofit/>
                              </wps:bodyPr>
                            </wps:wsp>
                            <wps:wsp>
                              <wps:cNvPr id="2616" name="Rectangle 2616"/>
                              <wps:cNvSpPr/>
                              <wps:spPr>
                                <a:xfrm rot="-5399999">
                                  <a:off x="142167" y="-81017"/>
                                  <a:ext cx="36744" cy="180546"/>
                                </a:xfrm>
                                <a:prstGeom prst="rect">
                                  <a:avLst/>
                                </a:prstGeom>
                                <a:ln>
                                  <a:noFill/>
                                </a:ln>
                              </wps:spPr>
                              <wps:txbx>
                                <w:txbxContent>
                                  <w:p w14:paraId="32D0E75A" w14:textId="77777777" w:rsidR="00736494" w:rsidRDefault="009156A5">
                                    <w:r>
                                      <w:rPr>
                                        <w:rFonts w:ascii="Corbel" w:eastAsia="Corbel" w:hAnsi="Corbel" w:cs="Corbel"/>
                                        <w:b/>
                                        <w:color w:val="363636"/>
                                        <w:sz w:val="2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362" style="width:18.2197pt;height:154.115pt;mso-position-horizontal-relative:char;mso-position-vertical-relative:line" coordsize="2313,19572">
                      <v:rect id="Rectangle 2613" style="position:absolute;width:11492;height:3077;left:-4207;top:12287;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Optional</w:t>
                              </w:r>
                            </w:p>
                          </w:txbxContent>
                        </v:textbox>
                      </v:rect>
                      <v:rect id="Rectangle 2614" style="position:absolute;width:626;height:3077;left:1225;top:9077;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rect id="Rectangle 2615" style="position:absolute;width:13538;height:3077;left:-5230;top:2148;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Provisions</w:t>
                              </w:r>
                            </w:p>
                          </w:txbxContent>
                        </v:textbox>
                      </v:rect>
                      <v:rect id="Rectangle 2616" style="position:absolute;width:367;height:1805;left:1421;top:-81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21"/>
                                </w:rPr>
                                <w:t xml:space="preserve"> </w:t>
                              </w:r>
                            </w:p>
                          </w:txbxContent>
                        </v:textbox>
                      </v:rect>
                    </v:group>
                  </w:pict>
                </mc:Fallback>
              </mc:AlternateContent>
            </w:r>
          </w:p>
        </w:tc>
        <w:tc>
          <w:tcPr>
            <w:tcW w:w="2108" w:type="dxa"/>
            <w:tcBorders>
              <w:top w:val="single" w:sz="4" w:space="0" w:color="000000"/>
              <w:left w:val="single" w:sz="4" w:space="0" w:color="000000"/>
              <w:bottom w:val="single" w:sz="4" w:space="0" w:color="000000"/>
              <w:right w:val="single" w:sz="4" w:space="0" w:color="000000"/>
            </w:tcBorders>
          </w:tcPr>
          <w:p w14:paraId="6C2EAB50" w14:textId="77777777" w:rsidR="00736494" w:rsidRDefault="009156A5">
            <w:pPr>
              <w:ind w:left="47"/>
              <w:jc w:val="center"/>
            </w:pPr>
            <w:r>
              <w:rPr>
                <w:rFonts w:ascii="Corbel" w:eastAsia="Corbel" w:hAnsi="Corbel" w:cs="Corbel"/>
                <w:b/>
                <w:color w:val="363636"/>
                <w:sz w:val="28"/>
              </w:rPr>
              <w:t xml:space="preserve"> </w:t>
            </w:r>
          </w:p>
          <w:p w14:paraId="556F0197" w14:textId="77777777" w:rsidR="00736494" w:rsidRDefault="009156A5">
            <w:pPr>
              <w:ind w:right="9"/>
              <w:jc w:val="center"/>
            </w:pPr>
            <w:r>
              <w:rPr>
                <w:rFonts w:ascii="Corbel" w:eastAsia="Corbel" w:hAnsi="Corbel" w:cs="Corbel"/>
                <w:b/>
                <w:color w:val="363636"/>
                <w:sz w:val="28"/>
              </w:rPr>
              <w:t xml:space="preserve">Owner  </w:t>
            </w:r>
          </w:p>
          <w:p w14:paraId="1E9CDC7E" w14:textId="77777777" w:rsidR="00736494" w:rsidRDefault="009156A5">
            <w:pPr>
              <w:ind w:right="9"/>
              <w:jc w:val="center"/>
            </w:pPr>
            <w:r>
              <w:rPr>
                <w:rFonts w:ascii="Corbel" w:eastAsia="Corbel" w:hAnsi="Corbel" w:cs="Corbel"/>
                <w:b/>
                <w:color w:val="363636"/>
                <w:sz w:val="28"/>
              </w:rPr>
              <w:t xml:space="preserve">Occupancy </w:t>
            </w:r>
          </w:p>
        </w:tc>
        <w:tc>
          <w:tcPr>
            <w:tcW w:w="6757" w:type="dxa"/>
            <w:tcBorders>
              <w:top w:val="single" w:sz="4" w:space="0" w:color="000000"/>
              <w:left w:val="single" w:sz="4" w:space="0" w:color="000000"/>
              <w:bottom w:val="single" w:sz="4" w:space="0" w:color="000000"/>
              <w:right w:val="single" w:sz="4" w:space="0" w:color="000000"/>
            </w:tcBorders>
            <w:vAlign w:val="bottom"/>
          </w:tcPr>
          <w:p w14:paraId="02C39110" w14:textId="77777777" w:rsidR="00736494" w:rsidRDefault="009156A5">
            <w:pPr>
              <w:spacing w:after="144"/>
            </w:pPr>
            <w:r>
              <w:rPr>
                <w:rFonts w:ascii="Corbel" w:eastAsia="Corbel" w:hAnsi="Corbel" w:cs="Corbel"/>
                <w:b/>
                <w:color w:val="363636"/>
                <w:sz w:val="21"/>
              </w:rPr>
              <w:t xml:space="preserve">Options: </w:t>
            </w:r>
          </w:p>
          <w:p w14:paraId="23A0CAA3" w14:textId="77777777" w:rsidR="00736494" w:rsidRDefault="009156A5">
            <w:pPr>
              <w:spacing w:line="267" w:lineRule="auto"/>
              <w:ind w:left="720" w:hanging="415"/>
            </w:pPr>
            <w:r>
              <w:rPr>
                <w:rFonts w:ascii="Segoe UI Symbol" w:eastAsia="Segoe UI Symbol" w:hAnsi="Segoe UI Symbol" w:cs="Segoe UI Symbol"/>
                <w:color w:val="00CC00"/>
                <w:sz w:val="32"/>
              </w:rPr>
              <w:t>✓</w:t>
            </w:r>
            <w:r>
              <w:rPr>
                <w:rFonts w:ascii="Segoe UI Symbol" w:eastAsia="Segoe UI Symbol" w:hAnsi="Segoe UI Symbol" w:cs="Segoe UI Symbol"/>
                <w:color w:val="363636"/>
                <w:sz w:val="21"/>
              </w:rPr>
              <w:t></w:t>
            </w:r>
            <w:r>
              <w:rPr>
                <w:rFonts w:ascii="Arial" w:eastAsia="Arial" w:hAnsi="Arial" w:cs="Arial"/>
                <w:color w:val="363636"/>
                <w:sz w:val="32"/>
                <w:vertAlign w:val="superscript"/>
              </w:rPr>
              <w:t xml:space="preserve"> </w:t>
            </w:r>
            <w:r>
              <w:rPr>
                <w:rFonts w:ascii="Corbel" w:eastAsia="Corbel" w:hAnsi="Corbel" w:cs="Corbel"/>
                <w:b/>
                <w:color w:val="00CC00"/>
                <w:sz w:val="32"/>
              </w:rPr>
              <w:t xml:space="preserve"> </w:t>
            </w:r>
            <w:r>
              <w:rPr>
                <w:rFonts w:ascii="Corbel" w:eastAsia="Corbel" w:hAnsi="Corbel" w:cs="Corbel"/>
                <w:b/>
                <w:color w:val="363636"/>
                <w:sz w:val="21"/>
              </w:rPr>
              <w:t xml:space="preserve">Owner-occupancy is not required for either the primary dwelling or the accessory dwelling  </w:t>
            </w:r>
            <w:r>
              <w:rPr>
                <w:rFonts w:ascii="Corbel" w:eastAsia="Corbel" w:hAnsi="Corbel" w:cs="Corbel"/>
                <w:b/>
                <w:i/>
                <w:color w:val="00CC00"/>
                <w:sz w:val="21"/>
              </w:rPr>
              <w:t>(Recommended)</w:t>
            </w:r>
            <w:r>
              <w:rPr>
                <w:rFonts w:ascii="Corbel" w:eastAsia="Corbel" w:hAnsi="Corbel" w:cs="Corbel"/>
                <w:b/>
                <w:color w:val="363636"/>
                <w:sz w:val="21"/>
              </w:rPr>
              <w:t xml:space="preserve"> </w:t>
            </w:r>
          </w:p>
          <w:p w14:paraId="6A8A8F0E" w14:textId="77777777" w:rsidR="00736494" w:rsidRDefault="009156A5">
            <w:pPr>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Primary dwelling must be owner-occupied </w:t>
            </w:r>
          </w:p>
          <w:p w14:paraId="609EF3A3" w14:textId="77777777" w:rsidR="00736494" w:rsidRDefault="009156A5">
            <w:pPr>
              <w:spacing w:after="38" w:line="277" w:lineRule="auto"/>
              <w:ind w:left="72" w:right="269" w:firstLine="288"/>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Either the primary dwelling or the accessory dwelling must be owner-occupied </w:t>
            </w:r>
            <w:r>
              <w:rPr>
                <w:rFonts w:ascii="Corbel" w:eastAsia="Corbel" w:hAnsi="Corbel" w:cs="Corbel"/>
                <w:i/>
                <w:color w:val="363636"/>
                <w:sz w:val="21"/>
              </w:rPr>
              <w:t>Comment</w:t>
            </w:r>
            <w:r>
              <w:rPr>
                <w:rFonts w:ascii="Corbel" w:eastAsia="Corbel" w:hAnsi="Corbel" w:cs="Corbel"/>
                <w:color w:val="363636"/>
                <w:sz w:val="21"/>
              </w:rPr>
              <w:t xml:space="preserve">:   </w:t>
            </w:r>
          </w:p>
          <w:p w14:paraId="4CF58F1A" w14:textId="77777777" w:rsidR="00736494" w:rsidRDefault="009156A5">
            <w:pPr>
              <w:spacing w:after="80" w:line="238" w:lineRule="auto"/>
              <w:ind w:left="360" w:hanging="288"/>
            </w:pPr>
            <w:r>
              <w:rPr>
                <w:rFonts w:ascii="Corbel" w:eastAsia="Corbel" w:hAnsi="Corbel" w:cs="Corbel"/>
                <w:b/>
                <w:color w:val="363636"/>
                <w:sz w:val="21"/>
              </w:rPr>
              <w:t>PRO’s:</w:t>
            </w:r>
            <w:r>
              <w:rPr>
                <w:rFonts w:ascii="Corbel" w:eastAsia="Corbel" w:hAnsi="Corbel" w:cs="Corbel"/>
                <w:color w:val="363636"/>
                <w:sz w:val="21"/>
              </w:rPr>
              <w:t xml:space="preserve">  Owner-occupancy requirements are thought to ensure that property is better maintained and that the occupants are not disruptive to the neighborhood.  An owner-occupancy requirement may be necessary to get local support. </w:t>
            </w:r>
          </w:p>
          <w:p w14:paraId="037FBEF4" w14:textId="77777777" w:rsidR="00736494" w:rsidRDefault="009156A5">
            <w:pPr>
              <w:spacing w:line="239" w:lineRule="auto"/>
              <w:ind w:left="360" w:hanging="288"/>
            </w:pPr>
            <w:r>
              <w:rPr>
                <w:rFonts w:ascii="Corbel" w:eastAsia="Corbel" w:hAnsi="Corbel" w:cs="Corbel"/>
                <w:b/>
                <w:color w:val="363636"/>
                <w:sz w:val="21"/>
              </w:rPr>
              <w:t>CON’s</w:t>
            </w:r>
            <w:r>
              <w:rPr>
                <w:rFonts w:ascii="Corbel" w:eastAsia="Corbel" w:hAnsi="Corbel" w:cs="Corbel"/>
                <w:color w:val="363636"/>
                <w:sz w:val="21"/>
              </w:rPr>
              <w:t xml:space="preserve">: An owner-occupancy requirement will reduce the number of accessory dwellings constructed, can be difficult to track and enforce, </w:t>
            </w:r>
          </w:p>
          <w:p w14:paraId="56CD3656" w14:textId="77777777" w:rsidR="00736494" w:rsidRDefault="009156A5">
            <w:pPr>
              <w:spacing w:after="107" w:line="238" w:lineRule="auto"/>
              <w:ind w:left="360" w:right="141"/>
            </w:pPr>
            <w:r>
              <w:rPr>
                <w:rFonts w:ascii="Corbel" w:eastAsia="Corbel" w:hAnsi="Corbel" w:cs="Corbel"/>
                <w:color w:val="363636"/>
                <w:sz w:val="21"/>
              </w:rPr>
              <w:t xml:space="preserve">and may hinder resale and financing.  Owner-occupancy requirements will deter some homeowners from constructing accessory dwellings because it will reduce the pool of potential future buyers. If the homeowners were to move, they would not have the option of leasing the ADU and their primary residence to separate tenants. New lending rules from the Federal Housing Administration allow mortgage borrowers to qualify in part based on income generated by renting out an ADU only if it can be rented without </w:t>
            </w:r>
            <w:proofErr w:type="spellStart"/>
            <w:r>
              <w:rPr>
                <w:rFonts w:ascii="Corbel" w:eastAsia="Corbel" w:hAnsi="Corbel" w:cs="Corbel"/>
                <w:color w:val="363636"/>
                <w:sz w:val="21"/>
              </w:rPr>
              <w:t>restriction.</w:t>
            </w:r>
            <w:r>
              <w:rPr>
                <w:rFonts w:ascii="Corbel" w:eastAsia="Corbel" w:hAnsi="Corbel" w:cs="Corbel"/>
                <w:color w:val="363636"/>
                <w:sz w:val="21"/>
                <w:vertAlign w:val="superscript"/>
              </w:rPr>
              <w:t>i</w:t>
            </w:r>
            <w:proofErr w:type="spellEnd"/>
            <w:r>
              <w:rPr>
                <w:rFonts w:ascii="Corbel" w:eastAsia="Corbel" w:hAnsi="Corbel" w:cs="Corbel"/>
                <w:color w:val="363636"/>
                <w:sz w:val="21"/>
              </w:rPr>
              <w:t xml:space="preserve"> </w:t>
            </w:r>
          </w:p>
          <w:p w14:paraId="19AA54B7" w14:textId="77777777" w:rsidR="00736494" w:rsidRDefault="009156A5">
            <w:pPr>
              <w:ind w:left="346" w:hanging="274"/>
            </w:pPr>
            <w:r>
              <w:rPr>
                <w:rFonts w:ascii="Corbel" w:eastAsia="Corbel" w:hAnsi="Corbel" w:cs="Corbel"/>
                <w:b/>
                <w:i/>
                <w:color w:val="363636"/>
                <w:sz w:val="21"/>
              </w:rPr>
              <w:t>Owner-occupancy compromise:</w:t>
            </w:r>
            <w:r>
              <w:rPr>
                <w:rFonts w:ascii="Corbel" w:eastAsia="Corbel" w:hAnsi="Corbel" w:cs="Corbel"/>
                <w:color w:val="363636"/>
                <w:sz w:val="21"/>
              </w:rPr>
              <w:t xml:space="preserve"> Colorado had required owner occupancy only at the time of permitting. This provision aimed to deter investor speculation while protecting owners from being unable to rent their properties if circumstances change after permitting or construction.  Note that Colorado recently eliminated any owner-occupancy requirement. </w:t>
            </w:r>
          </w:p>
        </w:tc>
      </w:tr>
      <w:tr w:rsidR="00736494" w14:paraId="01519469" w14:textId="77777777">
        <w:trPr>
          <w:trHeight w:val="3502"/>
        </w:trPr>
        <w:tc>
          <w:tcPr>
            <w:tcW w:w="0" w:type="auto"/>
            <w:vMerge/>
            <w:tcBorders>
              <w:top w:val="nil"/>
              <w:left w:val="single" w:sz="4" w:space="0" w:color="000000"/>
              <w:bottom w:val="single" w:sz="4" w:space="0" w:color="000000"/>
              <w:right w:val="single" w:sz="4" w:space="0" w:color="000000"/>
            </w:tcBorders>
          </w:tcPr>
          <w:p w14:paraId="021E68A9" w14:textId="77777777" w:rsidR="00736494" w:rsidRDefault="00736494"/>
        </w:tc>
        <w:tc>
          <w:tcPr>
            <w:tcW w:w="2108" w:type="dxa"/>
            <w:tcBorders>
              <w:top w:val="single" w:sz="4" w:space="0" w:color="000000"/>
              <w:left w:val="single" w:sz="4" w:space="0" w:color="000000"/>
              <w:bottom w:val="single" w:sz="4" w:space="0" w:color="000000"/>
              <w:right w:val="single" w:sz="4" w:space="0" w:color="000000"/>
            </w:tcBorders>
          </w:tcPr>
          <w:p w14:paraId="63A1C9C6" w14:textId="77777777" w:rsidR="00736494" w:rsidRDefault="009156A5">
            <w:pPr>
              <w:ind w:left="47"/>
              <w:jc w:val="center"/>
            </w:pPr>
            <w:r>
              <w:rPr>
                <w:rFonts w:ascii="Corbel" w:eastAsia="Corbel" w:hAnsi="Corbel" w:cs="Corbel"/>
                <w:b/>
                <w:color w:val="363636"/>
                <w:sz w:val="28"/>
              </w:rPr>
              <w:t xml:space="preserve"> </w:t>
            </w:r>
          </w:p>
          <w:p w14:paraId="50C69B7B" w14:textId="77777777" w:rsidR="00736494" w:rsidRDefault="009156A5">
            <w:pPr>
              <w:ind w:right="8"/>
              <w:jc w:val="center"/>
            </w:pPr>
            <w:r>
              <w:rPr>
                <w:rFonts w:ascii="Corbel" w:eastAsia="Corbel" w:hAnsi="Corbel" w:cs="Corbel"/>
                <w:b/>
                <w:color w:val="363636"/>
                <w:sz w:val="28"/>
              </w:rPr>
              <w:t xml:space="preserve">Parking </w:t>
            </w:r>
          </w:p>
        </w:tc>
        <w:tc>
          <w:tcPr>
            <w:tcW w:w="6757" w:type="dxa"/>
            <w:tcBorders>
              <w:top w:val="single" w:sz="4" w:space="0" w:color="000000"/>
              <w:left w:val="single" w:sz="4" w:space="0" w:color="000000"/>
              <w:bottom w:val="single" w:sz="4" w:space="0" w:color="000000"/>
              <w:right w:val="single" w:sz="4" w:space="0" w:color="000000"/>
            </w:tcBorders>
            <w:vAlign w:val="bottom"/>
          </w:tcPr>
          <w:p w14:paraId="6E479366" w14:textId="77777777" w:rsidR="00736494" w:rsidRDefault="009156A5">
            <w:pPr>
              <w:spacing w:after="118"/>
            </w:pPr>
            <w:r>
              <w:rPr>
                <w:rFonts w:ascii="Corbel" w:eastAsia="Corbel" w:hAnsi="Corbel" w:cs="Corbel"/>
                <w:b/>
                <w:color w:val="363636"/>
                <w:sz w:val="21"/>
              </w:rPr>
              <w:t xml:space="preserve">Options: </w:t>
            </w:r>
          </w:p>
          <w:p w14:paraId="4AEEA877" w14:textId="77777777" w:rsidR="00736494" w:rsidRDefault="009156A5">
            <w:pPr>
              <w:spacing w:line="256" w:lineRule="auto"/>
              <w:ind w:left="720" w:hanging="449"/>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Additional parking is not required if the principal dwelling unit has sufficient off-street parking, or adequate additional </w:t>
            </w:r>
            <w:proofErr w:type="spellStart"/>
            <w:r>
              <w:rPr>
                <w:rFonts w:ascii="Corbel" w:eastAsia="Corbel" w:hAnsi="Corbel" w:cs="Corbel"/>
                <w:b/>
                <w:color w:val="363636"/>
                <w:sz w:val="21"/>
              </w:rPr>
              <w:t>onstreet</w:t>
            </w:r>
            <w:proofErr w:type="spellEnd"/>
            <w:r>
              <w:rPr>
                <w:rFonts w:ascii="Corbel" w:eastAsia="Corbel" w:hAnsi="Corbel" w:cs="Corbel"/>
                <w:b/>
                <w:color w:val="363636"/>
                <w:sz w:val="21"/>
              </w:rPr>
              <w:t xml:space="preserve"> parking is available within walking distance (500 feet) of the lot containing the accessory dwelling. </w:t>
            </w:r>
            <w:r>
              <w:rPr>
                <w:rFonts w:ascii="Corbel" w:eastAsia="Corbel" w:hAnsi="Corbel" w:cs="Corbel"/>
                <w:b/>
                <w:i/>
                <w:color w:val="00CC00"/>
                <w:sz w:val="21"/>
              </w:rPr>
              <w:t>(Recommended)</w:t>
            </w:r>
            <w:r>
              <w:rPr>
                <w:rFonts w:ascii="Corbel" w:eastAsia="Corbel" w:hAnsi="Corbel" w:cs="Corbel"/>
                <w:b/>
                <w:color w:val="363636"/>
                <w:sz w:val="21"/>
              </w:rPr>
              <w:t xml:space="preserve"> </w:t>
            </w:r>
          </w:p>
          <w:p w14:paraId="40C1B32C" w14:textId="77777777" w:rsidR="00736494" w:rsidRDefault="009156A5">
            <w:pPr>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One off-street parking space is required for an ADU </w:t>
            </w:r>
          </w:p>
          <w:p w14:paraId="620385EF" w14:textId="77777777" w:rsidR="00736494" w:rsidRDefault="009156A5">
            <w:pPr>
              <w:spacing w:after="33"/>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One off-street parking space is required for each bedroom </w:t>
            </w:r>
          </w:p>
          <w:p w14:paraId="3C3611B1" w14:textId="77777777" w:rsidR="00736494" w:rsidRDefault="009156A5">
            <w:r>
              <w:rPr>
                <w:rFonts w:ascii="Corbel" w:eastAsia="Corbel" w:hAnsi="Corbel" w:cs="Corbel"/>
                <w:i/>
                <w:color w:val="363636"/>
                <w:sz w:val="21"/>
              </w:rPr>
              <w:t>Comment</w:t>
            </w:r>
            <w:r>
              <w:rPr>
                <w:rFonts w:ascii="Corbel" w:eastAsia="Corbel" w:hAnsi="Corbel" w:cs="Corbel"/>
                <w:color w:val="363636"/>
                <w:sz w:val="21"/>
              </w:rPr>
              <w:t xml:space="preserve">:  The cost and/or difficulty of complying with additional parking requirements for an ADU on an existing lot can often make the ADU cost prohibitive or physically impossible.  Parking requirements should be as minimal as necessary to encourage ADU development.  Recommend parking adequacy be staff-level review and approval.  </w:t>
            </w:r>
            <w:r>
              <w:rPr>
                <w:rFonts w:ascii="Corbel" w:eastAsia="Corbel" w:hAnsi="Corbel" w:cs="Corbel"/>
                <w:b/>
                <w:color w:val="363636"/>
                <w:sz w:val="21"/>
              </w:rPr>
              <w:t xml:space="preserve"> </w:t>
            </w:r>
          </w:p>
        </w:tc>
      </w:tr>
    </w:tbl>
    <w:p w14:paraId="31B74335" w14:textId="77777777" w:rsidR="00736494" w:rsidRDefault="009156A5">
      <w:pPr>
        <w:spacing w:after="0"/>
      </w:pPr>
      <w:r>
        <w:rPr>
          <w:rFonts w:ascii="Arial" w:eastAsia="Arial" w:hAnsi="Arial" w:cs="Arial"/>
          <w:sz w:val="21"/>
        </w:rPr>
        <w:t xml:space="preserve"> </w:t>
      </w:r>
      <w:r>
        <w:rPr>
          <w:rFonts w:ascii="Arial" w:eastAsia="Arial" w:hAnsi="Arial" w:cs="Arial"/>
          <w:sz w:val="21"/>
        </w:rPr>
        <w:tab/>
      </w:r>
      <w:r>
        <w:rPr>
          <w:rFonts w:ascii="Corbel" w:eastAsia="Corbel" w:hAnsi="Corbel" w:cs="Corbel"/>
          <w:sz w:val="21"/>
        </w:rPr>
        <w:t xml:space="preserve"> </w:t>
      </w:r>
    </w:p>
    <w:p w14:paraId="5E9A1189" w14:textId="77777777" w:rsidR="00736494" w:rsidRDefault="00736494">
      <w:pPr>
        <w:spacing w:after="0"/>
        <w:ind w:left="-1440" w:right="10794"/>
      </w:pPr>
    </w:p>
    <w:tbl>
      <w:tblPr>
        <w:tblStyle w:val="TableGrid"/>
        <w:tblW w:w="9447" w:type="dxa"/>
        <w:tblInd w:w="6" w:type="dxa"/>
        <w:tblCellMar>
          <w:top w:w="192" w:type="dxa"/>
          <w:left w:w="108" w:type="dxa"/>
          <w:bottom w:w="81" w:type="dxa"/>
          <w:right w:w="65" w:type="dxa"/>
        </w:tblCellMar>
        <w:tblLook w:val="04A0" w:firstRow="1" w:lastRow="0" w:firstColumn="1" w:lastColumn="0" w:noHBand="0" w:noVBand="1"/>
      </w:tblPr>
      <w:tblGrid>
        <w:gridCol w:w="674"/>
        <w:gridCol w:w="1948"/>
        <w:gridCol w:w="161"/>
        <w:gridCol w:w="6664"/>
      </w:tblGrid>
      <w:tr w:rsidR="00736494" w14:paraId="512355C2" w14:textId="77777777">
        <w:trPr>
          <w:trHeight w:val="2761"/>
        </w:trPr>
        <w:tc>
          <w:tcPr>
            <w:tcW w:w="674" w:type="dxa"/>
            <w:vMerge w:val="restart"/>
            <w:tcBorders>
              <w:top w:val="single" w:sz="4" w:space="0" w:color="000000"/>
              <w:left w:val="single" w:sz="4" w:space="0" w:color="000000"/>
              <w:bottom w:val="single" w:sz="4" w:space="0" w:color="000000"/>
              <w:right w:val="single" w:sz="4" w:space="0" w:color="000000"/>
            </w:tcBorders>
            <w:shd w:val="clear" w:color="auto" w:fill="DBEEA6"/>
          </w:tcPr>
          <w:p w14:paraId="579F8C79" w14:textId="77777777" w:rsidR="00736494" w:rsidRDefault="009156A5">
            <w:pPr>
              <w:ind w:left="79"/>
            </w:pPr>
            <w:r>
              <w:rPr>
                <w:noProof/>
              </w:rPr>
              <mc:AlternateContent>
                <mc:Choice Requires="wpg">
                  <w:drawing>
                    <wp:inline distT="0" distB="0" distL="0" distR="0" wp14:anchorId="13F7E629" wp14:editId="28455F2E">
                      <wp:extent cx="231391" cy="1957265"/>
                      <wp:effectExtent l="0" t="0" r="0" b="0"/>
                      <wp:docPr id="34217" name="Group 34217"/>
                      <wp:cNvGraphicFramePr/>
                      <a:graphic xmlns:a="http://schemas.openxmlformats.org/drawingml/2006/main">
                        <a:graphicData uri="http://schemas.microsoft.com/office/word/2010/wordprocessingGroup">
                          <wpg:wgp>
                            <wpg:cNvGrpSpPr/>
                            <wpg:grpSpPr>
                              <a:xfrm>
                                <a:off x="0" y="0"/>
                                <a:ext cx="231391" cy="1957265"/>
                                <a:chOff x="0" y="0"/>
                                <a:chExt cx="231391" cy="1957265"/>
                              </a:xfrm>
                            </wpg:grpSpPr>
                            <wps:wsp>
                              <wps:cNvPr id="2842" name="Rectangle 2842"/>
                              <wps:cNvSpPr/>
                              <wps:spPr>
                                <a:xfrm rot="-5399999">
                                  <a:off x="-420756" y="1228759"/>
                                  <a:ext cx="1149264" cy="307750"/>
                                </a:xfrm>
                                <a:prstGeom prst="rect">
                                  <a:avLst/>
                                </a:prstGeom>
                                <a:ln>
                                  <a:noFill/>
                                </a:ln>
                              </wps:spPr>
                              <wps:txbx>
                                <w:txbxContent>
                                  <w:p w14:paraId="51B1685C" w14:textId="77777777" w:rsidR="00736494" w:rsidRDefault="009156A5">
                                    <w:r>
                                      <w:rPr>
                                        <w:rFonts w:ascii="Corbel" w:eastAsia="Corbel" w:hAnsi="Corbel" w:cs="Corbel"/>
                                        <w:b/>
                                        <w:color w:val="363636"/>
                                        <w:sz w:val="36"/>
                                      </w:rPr>
                                      <w:t>Optional</w:t>
                                    </w:r>
                                  </w:p>
                                </w:txbxContent>
                              </wps:txbx>
                              <wps:bodyPr horzOverflow="overflow" vert="horz" lIns="0" tIns="0" rIns="0" bIns="0" rtlCol="0">
                                <a:noAutofit/>
                              </wps:bodyPr>
                            </wps:wsp>
                            <wps:wsp>
                              <wps:cNvPr id="2843" name="Rectangle 2843"/>
                              <wps:cNvSpPr/>
                              <wps:spPr>
                                <a:xfrm rot="-5399999">
                                  <a:off x="122559" y="907712"/>
                                  <a:ext cx="62632" cy="307749"/>
                                </a:xfrm>
                                <a:prstGeom prst="rect">
                                  <a:avLst/>
                                </a:prstGeom>
                                <a:ln>
                                  <a:noFill/>
                                </a:ln>
                              </wps:spPr>
                              <wps:txbx>
                                <w:txbxContent>
                                  <w:p w14:paraId="20A39D03"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s:wsp>
                              <wps:cNvPr id="2844" name="Rectangle 2844"/>
                              <wps:cNvSpPr/>
                              <wps:spPr>
                                <a:xfrm rot="-5399999">
                                  <a:off x="-523065" y="214844"/>
                                  <a:ext cx="1353881" cy="307749"/>
                                </a:xfrm>
                                <a:prstGeom prst="rect">
                                  <a:avLst/>
                                </a:prstGeom>
                                <a:ln>
                                  <a:noFill/>
                                </a:ln>
                              </wps:spPr>
                              <wps:txbx>
                                <w:txbxContent>
                                  <w:p w14:paraId="714E5AF3" w14:textId="77777777" w:rsidR="00736494" w:rsidRDefault="009156A5">
                                    <w:r>
                                      <w:rPr>
                                        <w:rFonts w:ascii="Corbel" w:eastAsia="Corbel" w:hAnsi="Corbel" w:cs="Corbel"/>
                                        <w:b/>
                                        <w:color w:val="363636"/>
                                        <w:sz w:val="36"/>
                                      </w:rPr>
                                      <w:t>Provisions</w:t>
                                    </w:r>
                                  </w:p>
                                </w:txbxContent>
                              </wps:txbx>
                              <wps:bodyPr horzOverflow="overflow" vert="horz" lIns="0" tIns="0" rIns="0" bIns="0" rtlCol="0">
                                <a:noAutofit/>
                              </wps:bodyPr>
                            </wps:wsp>
                            <wps:wsp>
                              <wps:cNvPr id="2845" name="Rectangle 2845"/>
                              <wps:cNvSpPr/>
                              <wps:spPr>
                                <a:xfrm rot="-5399999">
                                  <a:off x="142167" y="-81017"/>
                                  <a:ext cx="36744" cy="180546"/>
                                </a:xfrm>
                                <a:prstGeom prst="rect">
                                  <a:avLst/>
                                </a:prstGeom>
                                <a:ln>
                                  <a:noFill/>
                                </a:ln>
                              </wps:spPr>
                              <wps:txbx>
                                <w:txbxContent>
                                  <w:p w14:paraId="42F41867" w14:textId="77777777" w:rsidR="00736494" w:rsidRDefault="009156A5">
                                    <w:r>
                                      <w:rPr>
                                        <w:rFonts w:ascii="Corbel" w:eastAsia="Corbel" w:hAnsi="Corbel" w:cs="Corbel"/>
                                        <w:b/>
                                        <w:color w:val="363636"/>
                                        <w:sz w:val="2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4217" style="width:18.2197pt;height:154.115pt;mso-position-horizontal-relative:char;mso-position-vertical-relative:line" coordsize="2313,19572">
                      <v:rect id="Rectangle 2842" style="position:absolute;width:11492;height:3077;left:-4207;top:12287;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Optional</w:t>
                              </w:r>
                            </w:p>
                          </w:txbxContent>
                        </v:textbox>
                      </v:rect>
                      <v:rect id="Rectangle 2843" style="position:absolute;width:626;height:3077;left:1225;top:9077;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rect id="Rectangle 2844" style="position:absolute;width:13538;height:3077;left:-5230;top:2148;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Provisions</w:t>
                              </w:r>
                            </w:p>
                          </w:txbxContent>
                        </v:textbox>
                      </v:rect>
                      <v:rect id="Rectangle 2845" style="position:absolute;width:367;height:1805;left:1421;top:-81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21"/>
                                </w:rPr>
                                <w:t xml:space="preserve"> </w:t>
                              </w:r>
                            </w:p>
                          </w:txbxContent>
                        </v:textbox>
                      </v:rect>
                    </v:group>
                  </w:pict>
                </mc:Fallback>
              </mc:AlternateContent>
            </w:r>
          </w:p>
        </w:tc>
        <w:tc>
          <w:tcPr>
            <w:tcW w:w="2109" w:type="dxa"/>
            <w:gridSpan w:val="2"/>
            <w:tcBorders>
              <w:top w:val="single" w:sz="4" w:space="0" w:color="000000"/>
              <w:left w:val="single" w:sz="4" w:space="0" w:color="000000"/>
              <w:bottom w:val="single" w:sz="4" w:space="0" w:color="000000"/>
              <w:right w:val="single" w:sz="4" w:space="0" w:color="000000"/>
            </w:tcBorders>
          </w:tcPr>
          <w:p w14:paraId="1EDCDC12" w14:textId="77777777" w:rsidR="00736494" w:rsidRDefault="009156A5">
            <w:pPr>
              <w:ind w:left="16"/>
              <w:jc w:val="center"/>
            </w:pPr>
            <w:r>
              <w:rPr>
                <w:rFonts w:ascii="Corbel" w:eastAsia="Corbel" w:hAnsi="Corbel" w:cs="Corbel"/>
                <w:b/>
                <w:color w:val="363636"/>
                <w:sz w:val="28"/>
              </w:rPr>
              <w:t xml:space="preserve"> </w:t>
            </w:r>
          </w:p>
          <w:p w14:paraId="19F3576A" w14:textId="77777777" w:rsidR="00736494" w:rsidRDefault="009156A5">
            <w:pPr>
              <w:jc w:val="center"/>
            </w:pPr>
            <w:r>
              <w:rPr>
                <w:rFonts w:ascii="Corbel" w:eastAsia="Corbel" w:hAnsi="Corbel" w:cs="Corbel"/>
                <w:b/>
                <w:color w:val="363636"/>
                <w:sz w:val="28"/>
              </w:rPr>
              <w:t xml:space="preserve">Minimum Floor Area </w:t>
            </w:r>
          </w:p>
        </w:tc>
        <w:tc>
          <w:tcPr>
            <w:tcW w:w="6663" w:type="dxa"/>
            <w:tcBorders>
              <w:top w:val="single" w:sz="4" w:space="0" w:color="000000"/>
              <w:left w:val="single" w:sz="4" w:space="0" w:color="000000"/>
              <w:bottom w:val="single" w:sz="4" w:space="0" w:color="000000"/>
              <w:right w:val="single" w:sz="4" w:space="0" w:color="000000"/>
            </w:tcBorders>
            <w:vAlign w:val="bottom"/>
          </w:tcPr>
          <w:p w14:paraId="276D2BD1" w14:textId="77777777" w:rsidR="00736494" w:rsidRDefault="009156A5">
            <w:pPr>
              <w:spacing w:after="135"/>
            </w:pPr>
            <w:r>
              <w:rPr>
                <w:rFonts w:ascii="Corbel" w:eastAsia="Corbel" w:hAnsi="Corbel" w:cs="Corbel"/>
                <w:b/>
                <w:color w:val="363636"/>
                <w:sz w:val="21"/>
              </w:rPr>
              <w:t xml:space="preserve">Options: </w:t>
            </w:r>
          </w:p>
          <w:p w14:paraId="2236AE25" w14:textId="77777777" w:rsidR="00736494" w:rsidRDefault="009156A5">
            <w:pPr>
              <w:ind w:left="283"/>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No minimum floor area </w:t>
            </w:r>
            <w:r>
              <w:rPr>
                <w:rFonts w:ascii="Corbel" w:eastAsia="Corbel" w:hAnsi="Corbel" w:cs="Corbel"/>
                <w:b/>
                <w:i/>
                <w:color w:val="00CC00"/>
                <w:sz w:val="21"/>
              </w:rPr>
              <w:t>(Recommended)</w:t>
            </w:r>
            <w:r>
              <w:rPr>
                <w:rFonts w:ascii="Corbel" w:eastAsia="Corbel" w:hAnsi="Corbel" w:cs="Corbel"/>
                <w:b/>
                <w:color w:val="363636"/>
                <w:sz w:val="21"/>
              </w:rPr>
              <w:t xml:space="preserve"> </w:t>
            </w:r>
          </w:p>
          <w:p w14:paraId="26C38448" w14:textId="77777777" w:rsidR="00736494" w:rsidRDefault="009156A5">
            <w:pPr>
              <w:spacing w:after="74"/>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Specify minimum floor area </w:t>
            </w:r>
          </w:p>
          <w:p w14:paraId="35B67288" w14:textId="77777777" w:rsidR="00736494" w:rsidRDefault="009156A5">
            <w:pPr>
              <w:spacing w:after="1" w:line="238" w:lineRule="auto"/>
              <w:ind w:left="72"/>
            </w:pPr>
            <w:r>
              <w:rPr>
                <w:rFonts w:ascii="Corbel" w:eastAsia="Corbel" w:hAnsi="Corbel" w:cs="Corbel"/>
                <w:i/>
                <w:color w:val="363636"/>
                <w:sz w:val="21"/>
              </w:rPr>
              <w:t>Comment</w:t>
            </w:r>
            <w:r>
              <w:rPr>
                <w:rFonts w:ascii="Corbel" w:eastAsia="Corbel" w:hAnsi="Corbel" w:cs="Corbel"/>
                <w:color w:val="363636"/>
                <w:sz w:val="21"/>
              </w:rPr>
              <w:t xml:space="preserve">:  A minimum floor area can impose undue restrictions.   A min. floor area of 800 sq. ft. would prevent a studio apartment above a 2-car garage, which could be as small as 400 sq. ft.   Recommend no minimum floor area requirement, or alternatively a 400 sq. ft. min. floor area requirement. </w:t>
            </w:r>
          </w:p>
          <w:p w14:paraId="3354A3F9" w14:textId="77777777" w:rsidR="00736494" w:rsidRDefault="009156A5">
            <w:pPr>
              <w:ind w:left="163"/>
            </w:pPr>
            <w:r>
              <w:rPr>
                <w:rFonts w:ascii="Corbel" w:eastAsia="Corbel" w:hAnsi="Corbel" w:cs="Corbel"/>
                <w:color w:val="363636"/>
                <w:sz w:val="21"/>
              </w:rPr>
              <w:t xml:space="preserve"> </w:t>
            </w:r>
          </w:p>
        </w:tc>
      </w:tr>
      <w:tr w:rsidR="00736494" w14:paraId="3DBDCC10" w14:textId="77777777">
        <w:trPr>
          <w:trHeight w:val="3437"/>
        </w:trPr>
        <w:tc>
          <w:tcPr>
            <w:tcW w:w="0" w:type="auto"/>
            <w:vMerge/>
            <w:tcBorders>
              <w:top w:val="nil"/>
              <w:left w:val="single" w:sz="4" w:space="0" w:color="000000"/>
              <w:bottom w:val="nil"/>
              <w:right w:val="single" w:sz="4" w:space="0" w:color="000000"/>
            </w:tcBorders>
          </w:tcPr>
          <w:p w14:paraId="539DC632" w14:textId="77777777" w:rsidR="00736494" w:rsidRDefault="00736494"/>
        </w:tc>
        <w:tc>
          <w:tcPr>
            <w:tcW w:w="2109" w:type="dxa"/>
            <w:gridSpan w:val="2"/>
            <w:tcBorders>
              <w:top w:val="single" w:sz="4" w:space="0" w:color="000000"/>
              <w:left w:val="single" w:sz="4" w:space="0" w:color="000000"/>
              <w:bottom w:val="single" w:sz="4" w:space="0" w:color="000000"/>
              <w:right w:val="single" w:sz="4" w:space="0" w:color="000000"/>
            </w:tcBorders>
          </w:tcPr>
          <w:p w14:paraId="66C95A62" w14:textId="77777777" w:rsidR="00736494" w:rsidRDefault="009156A5">
            <w:pPr>
              <w:ind w:left="16"/>
              <w:jc w:val="center"/>
            </w:pPr>
            <w:r>
              <w:rPr>
                <w:rFonts w:ascii="Corbel" w:eastAsia="Corbel" w:hAnsi="Corbel" w:cs="Corbel"/>
                <w:b/>
                <w:color w:val="363636"/>
                <w:sz w:val="28"/>
              </w:rPr>
              <w:t xml:space="preserve"> </w:t>
            </w:r>
          </w:p>
          <w:p w14:paraId="559D42DC" w14:textId="77777777" w:rsidR="00736494" w:rsidRDefault="009156A5">
            <w:pPr>
              <w:ind w:right="43"/>
              <w:jc w:val="center"/>
            </w:pPr>
            <w:r>
              <w:rPr>
                <w:rFonts w:ascii="Corbel" w:eastAsia="Corbel" w:hAnsi="Corbel" w:cs="Corbel"/>
                <w:b/>
                <w:color w:val="363636"/>
                <w:sz w:val="28"/>
              </w:rPr>
              <w:t xml:space="preserve">Maximum </w:t>
            </w:r>
          </w:p>
          <w:p w14:paraId="0D1AC2EC" w14:textId="77777777" w:rsidR="00736494" w:rsidRDefault="009156A5">
            <w:pPr>
              <w:ind w:right="39"/>
              <w:jc w:val="center"/>
            </w:pPr>
            <w:r>
              <w:rPr>
                <w:rFonts w:ascii="Corbel" w:eastAsia="Corbel" w:hAnsi="Corbel" w:cs="Corbel"/>
                <w:b/>
                <w:color w:val="363636"/>
                <w:sz w:val="28"/>
              </w:rPr>
              <w:t xml:space="preserve">Floor Area </w:t>
            </w:r>
          </w:p>
        </w:tc>
        <w:tc>
          <w:tcPr>
            <w:tcW w:w="6663" w:type="dxa"/>
            <w:tcBorders>
              <w:top w:val="single" w:sz="4" w:space="0" w:color="000000"/>
              <w:left w:val="single" w:sz="4" w:space="0" w:color="000000"/>
              <w:bottom w:val="single" w:sz="4" w:space="0" w:color="000000"/>
              <w:right w:val="single" w:sz="4" w:space="0" w:color="000000"/>
            </w:tcBorders>
            <w:vAlign w:val="bottom"/>
          </w:tcPr>
          <w:p w14:paraId="56B498C5" w14:textId="77777777" w:rsidR="00736494" w:rsidRDefault="009156A5">
            <w:pPr>
              <w:spacing w:after="122"/>
            </w:pPr>
            <w:r>
              <w:rPr>
                <w:rFonts w:ascii="Corbel" w:eastAsia="Corbel" w:hAnsi="Corbel" w:cs="Corbel"/>
                <w:b/>
                <w:color w:val="363636"/>
                <w:sz w:val="21"/>
              </w:rPr>
              <w:t xml:space="preserve">Options: </w:t>
            </w:r>
          </w:p>
          <w:p w14:paraId="6955B0E1" w14:textId="77777777" w:rsidR="00736494" w:rsidRDefault="009156A5">
            <w:pPr>
              <w:spacing w:after="77" w:line="288" w:lineRule="auto"/>
              <w:ind w:left="720" w:hanging="434"/>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Not greater than 75% of the gross floor area of the primary dwelling unit (per State law) </w:t>
            </w:r>
            <w:r>
              <w:rPr>
                <w:rFonts w:ascii="Corbel" w:eastAsia="Corbel" w:hAnsi="Corbel" w:cs="Corbel"/>
                <w:b/>
                <w:i/>
                <w:color w:val="00CC00"/>
                <w:sz w:val="21"/>
              </w:rPr>
              <w:t>(Recommended)</w:t>
            </w:r>
            <w:r>
              <w:rPr>
                <w:rFonts w:ascii="Corbel" w:eastAsia="Corbel" w:hAnsi="Corbel" w:cs="Corbel"/>
                <w:b/>
                <w:color w:val="363636"/>
                <w:sz w:val="21"/>
              </w:rPr>
              <w:t xml:space="preserve"> </w:t>
            </w:r>
          </w:p>
          <w:p w14:paraId="176F967C" w14:textId="77777777" w:rsidR="00736494" w:rsidRDefault="009156A5">
            <w:pPr>
              <w:spacing w:after="79" w:line="239" w:lineRule="auto"/>
              <w:ind w:left="720" w:hanging="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color w:val="363636"/>
                <w:sz w:val="21"/>
              </w:rPr>
              <w:t>A jurisdiction may set a maximum floor area that is less than 75%.  For example, Carroll County requires that a</w:t>
            </w:r>
            <w:r>
              <w:rPr>
                <w:rFonts w:ascii="Corbel" w:eastAsia="Corbel" w:hAnsi="Corbel" w:cs="Corbel"/>
                <w:b/>
                <w:color w:val="363636"/>
                <w:sz w:val="21"/>
              </w:rPr>
              <w:t xml:space="preserve">n </w:t>
            </w:r>
            <w:r>
              <w:rPr>
                <w:rFonts w:ascii="Corbel" w:eastAsia="Corbel" w:hAnsi="Corbel" w:cs="Corbel"/>
                <w:color w:val="363636"/>
                <w:sz w:val="21"/>
              </w:rPr>
              <w:t xml:space="preserve">ADU “shall have no more than </w:t>
            </w:r>
            <w:r>
              <w:rPr>
                <w:rFonts w:ascii="Corbel" w:eastAsia="Corbel" w:hAnsi="Corbel" w:cs="Corbel"/>
                <w:color w:val="363636"/>
                <w:sz w:val="21"/>
                <w:u w:val="single" w:color="363636"/>
              </w:rPr>
              <w:t>800</w:t>
            </w:r>
            <w:r>
              <w:rPr>
                <w:rFonts w:ascii="Corbel" w:eastAsia="Corbel" w:hAnsi="Corbel" w:cs="Corbel"/>
                <w:color w:val="363636"/>
                <w:sz w:val="21"/>
              </w:rPr>
              <w:t xml:space="preserve"> square feet of livable floor area or </w:t>
            </w:r>
            <w:r>
              <w:rPr>
                <w:rFonts w:ascii="Corbel" w:eastAsia="Corbel" w:hAnsi="Corbel" w:cs="Corbel"/>
                <w:color w:val="363636"/>
                <w:sz w:val="21"/>
                <w:u w:val="single" w:color="363636"/>
              </w:rPr>
              <w:t>one-third</w:t>
            </w:r>
            <w:r>
              <w:rPr>
                <w:rFonts w:ascii="Corbel" w:eastAsia="Corbel" w:hAnsi="Corbel" w:cs="Corbel"/>
                <w:color w:val="363636"/>
                <w:sz w:val="21"/>
              </w:rPr>
              <w:t xml:space="preserve"> of the total livable floor area of the principal dwelling unit, whichever is greater.”</w:t>
            </w:r>
            <w:r>
              <w:rPr>
                <w:rFonts w:ascii="Corbel" w:eastAsia="Corbel" w:hAnsi="Corbel" w:cs="Corbel"/>
                <w:b/>
                <w:color w:val="363636"/>
                <w:sz w:val="21"/>
              </w:rPr>
              <w:t xml:space="preserve"> </w:t>
            </w:r>
          </w:p>
          <w:p w14:paraId="2EECD85B" w14:textId="77777777" w:rsidR="00736494" w:rsidRDefault="009156A5">
            <w:pPr>
              <w:spacing w:after="79" w:line="239" w:lineRule="auto"/>
              <w:ind w:left="72" w:firstLine="2"/>
            </w:pPr>
            <w:r>
              <w:rPr>
                <w:rFonts w:ascii="Corbel" w:eastAsia="Corbel" w:hAnsi="Corbel" w:cs="Corbel"/>
                <w:i/>
                <w:color w:val="363636"/>
                <w:sz w:val="21"/>
              </w:rPr>
              <w:t>Comment</w:t>
            </w:r>
            <w:r>
              <w:rPr>
                <w:rFonts w:ascii="Corbel" w:eastAsia="Corbel" w:hAnsi="Corbel" w:cs="Corbel"/>
                <w:color w:val="363636"/>
                <w:sz w:val="21"/>
              </w:rPr>
              <w:t xml:space="preserve">:  A maximum floor area ensures the ADU is truly a subordinate or accessory use to the primary home.   </w:t>
            </w:r>
          </w:p>
          <w:p w14:paraId="4F34F592" w14:textId="77777777" w:rsidR="00736494" w:rsidRDefault="009156A5">
            <w:pPr>
              <w:ind w:left="72"/>
            </w:pPr>
            <w:r>
              <w:rPr>
                <w:rFonts w:ascii="Corbel" w:eastAsia="Corbel" w:hAnsi="Corbel" w:cs="Corbel"/>
                <w:color w:val="363636"/>
                <w:sz w:val="21"/>
              </w:rPr>
              <w:t xml:space="preserve"> </w:t>
            </w:r>
          </w:p>
        </w:tc>
      </w:tr>
      <w:tr w:rsidR="00736494" w14:paraId="57DEE6A0" w14:textId="77777777">
        <w:trPr>
          <w:trHeight w:val="3732"/>
        </w:trPr>
        <w:tc>
          <w:tcPr>
            <w:tcW w:w="0" w:type="auto"/>
            <w:vMerge/>
            <w:tcBorders>
              <w:top w:val="nil"/>
              <w:left w:val="single" w:sz="4" w:space="0" w:color="000000"/>
              <w:bottom w:val="nil"/>
              <w:right w:val="single" w:sz="4" w:space="0" w:color="000000"/>
            </w:tcBorders>
          </w:tcPr>
          <w:p w14:paraId="354A5C7A" w14:textId="77777777" w:rsidR="00736494" w:rsidRDefault="00736494"/>
        </w:tc>
        <w:tc>
          <w:tcPr>
            <w:tcW w:w="2109" w:type="dxa"/>
            <w:gridSpan w:val="2"/>
            <w:tcBorders>
              <w:top w:val="single" w:sz="4" w:space="0" w:color="000000"/>
              <w:left w:val="single" w:sz="4" w:space="0" w:color="000000"/>
              <w:bottom w:val="single" w:sz="4" w:space="0" w:color="000000"/>
              <w:right w:val="single" w:sz="4" w:space="0" w:color="000000"/>
            </w:tcBorders>
          </w:tcPr>
          <w:p w14:paraId="00CA85EC" w14:textId="77777777" w:rsidR="00736494" w:rsidRDefault="009156A5">
            <w:pPr>
              <w:ind w:left="16"/>
              <w:jc w:val="center"/>
            </w:pPr>
            <w:r>
              <w:rPr>
                <w:rFonts w:ascii="Corbel" w:eastAsia="Corbel" w:hAnsi="Corbel" w:cs="Corbel"/>
                <w:b/>
                <w:color w:val="363636"/>
                <w:sz w:val="28"/>
              </w:rPr>
              <w:t xml:space="preserve"> </w:t>
            </w:r>
          </w:p>
          <w:p w14:paraId="74805ACA" w14:textId="77777777" w:rsidR="00736494" w:rsidRDefault="009156A5">
            <w:pPr>
              <w:ind w:right="40"/>
              <w:jc w:val="center"/>
            </w:pPr>
            <w:r>
              <w:rPr>
                <w:rFonts w:ascii="Corbel" w:eastAsia="Corbel" w:hAnsi="Corbel" w:cs="Corbel"/>
                <w:b/>
                <w:color w:val="363636"/>
                <w:sz w:val="28"/>
              </w:rPr>
              <w:t xml:space="preserve">Bedrooms </w:t>
            </w:r>
          </w:p>
        </w:tc>
        <w:tc>
          <w:tcPr>
            <w:tcW w:w="6663" w:type="dxa"/>
            <w:tcBorders>
              <w:top w:val="single" w:sz="4" w:space="0" w:color="000000"/>
              <w:left w:val="single" w:sz="4" w:space="0" w:color="000000"/>
              <w:bottom w:val="single" w:sz="4" w:space="0" w:color="000000"/>
              <w:right w:val="single" w:sz="4" w:space="0" w:color="000000"/>
            </w:tcBorders>
            <w:vAlign w:val="bottom"/>
          </w:tcPr>
          <w:p w14:paraId="7B27F017" w14:textId="77777777" w:rsidR="00736494" w:rsidRDefault="009156A5">
            <w:pPr>
              <w:spacing w:after="149"/>
            </w:pPr>
            <w:r>
              <w:rPr>
                <w:rFonts w:ascii="Corbel" w:eastAsia="Corbel" w:hAnsi="Corbel" w:cs="Corbel"/>
                <w:b/>
                <w:color w:val="363636"/>
                <w:sz w:val="21"/>
              </w:rPr>
              <w:t xml:space="preserve">Options: </w:t>
            </w:r>
          </w:p>
          <w:p w14:paraId="46329FB6" w14:textId="77777777" w:rsidR="00736494" w:rsidRDefault="009156A5">
            <w:pPr>
              <w:spacing w:after="106" w:line="262" w:lineRule="auto"/>
              <w:ind w:left="720" w:hanging="430"/>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32"/>
                <w:vertAlign w:val="superscript"/>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No more than 2 bedrooms are permitted in an ADU </w:t>
            </w:r>
            <w:r>
              <w:rPr>
                <w:rFonts w:ascii="Corbel" w:eastAsia="Corbel" w:hAnsi="Corbel" w:cs="Corbel"/>
                <w:b/>
                <w:i/>
                <w:color w:val="00CC00"/>
                <w:sz w:val="21"/>
              </w:rPr>
              <w:t>(Recommended)</w:t>
            </w:r>
            <w:r>
              <w:rPr>
                <w:rFonts w:ascii="Corbel" w:eastAsia="Corbel" w:hAnsi="Corbel" w:cs="Corbel"/>
                <w:b/>
                <w:color w:val="363636"/>
                <w:sz w:val="21"/>
              </w:rPr>
              <w:t xml:space="preserve"> </w:t>
            </w:r>
          </w:p>
          <w:p w14:paraId="1F25DE9D" w14:textId="77777777" w:rsidR="00736494" w:rsidRDefault="009156A5">
            <w:pPr>
              <w:spacing w:after="74"/>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Only 1 bedroom is permitted in an ADU </w:t>
            </w:r>
          </w:p>
          <w:p w14:paraId="0AD9EA2E" w14:textId="77777777" w:rsidR="00736494" w:rsidRDefault="009156A5">
            <w:pPr>
              <w:spacing w:after="80" w:line="239" w:lineRule="auto"/>
            </w:pPr>
            <w:r>
              <w:rPr>
                <w:rFonts w:ascii="Corbel" w:eastAsia="Corbel" w:hAnsi="Corbel" w:cs="Corbel"/>
                <w:i/>
                <w:color w:val="363636"/>
                <w:sz w:val="21"/>
              </w:rPr>
              <w:t>Comment</w:t>
            </w:r>
            <w:r>
              <w:rPr>
                <w:rFonts w:ascii="Corbel" w:eastAsia="Corbel" w:hAnsi="Corbel" w:cs="Corbel"/>
                <w:color w:val="363636"/>
                <w:sz w:val="21"/>
              </w:rPr>
              <w:t xml:space="preserve">:  The number of bedrooms permitted may vary depending on minimum or maximum floor area permitted.  Most jurisdictions permit no more than 2 bedrooms, to ensure the ADU is truly a subordinate or accessory use to the primary home.  Also, limiting to no more than 2 bedrooms is appropriate given the recommendation to waive other requirements, such as off-street parking, impact fees, APFO compliance, separate water and sewer taps. </w:t>
            </w:r>
          </w:p>
          <w:p w14:paraId="64F9A294" w14:textId="77777777" w:rsidR="00736494" w:rsidRDefault="009156A5">
            <w:r>
              <w:rPr>
                <w:rFonts w:ascii="Corbel" w:eastAsia="Corbel" w:hAnsi="Corbel" w:cs="Corbel"/>
                <w:color w:val="363636"/>
                <w:sz w:val="21"/>
              </w:rPr>
              <w:t xml:space="preserve"> </w:t>
            </w:r>
          </w:p>
        </w:tc>
      </w:tr>
      <w:tr w:rsidR="00736494" w14:paraId="53C4935C" w14:textId="77777777">
        <w:trPr>
          <w:trHeight w:val="2143"/>
        </w:trPr>
        <w:tc>
          <w:tcPr>
            <w:tcW w:w="0" w:type="auto"/>
            <w:vMerge/>
            <w:tcBorders>
              <w:top w:val="nil"/>
              <w:left w:val="single" w:sz="4" w:space="0" w:color="000000"/>
              <w:bottom w:val="single" w:sz="4" w:space="0" w:color="000000"/>
              <w:right w:val="single" w:sz="4" w:space="0" w:color="000000"/>
            </w:tcBorders>
          </w:tcPr>
          <w:p w14:paraId="1D426051" w14:textId="77777777" w:rsidR="00736494" w:rsidRDefault="00736494"/>
        </w:tc>
        <w:tc>
          <w:tcPr>
            <w:tcW w:w="2109" w:type="dxa"/>
            <w:gridSpan w:val="2"/>
            <w:tcBorders>
              <w:top w:val="single" w:sz="4" w:space="0" w:color="000000"/>
              <w:left w:val="single" w:sz="4" w:space="0" w:color="000000"/>
              <w:bottom w:val="single" w:sz="4" w:space="0" w:color="000000"/>
              <w:right w:val="single" w:sz="4" w:space="0" w:color="000000"/>
            </w:tcBorders>
          </w:tcPr>
          <w:p w14:paraId="1675D540" w14:textId="77777777" w:rsidR="00736494" w:rsidRDefault="009156A5">
            <w:pPr>
              <w:ind w:left="16"/>
              <w:jc w:val="center"/>
            </w:pPr>
            <w:r>
              <w:rPr>
                <w:rFonts w:ascii="Corbel" w:eastAsia="Corbel" w:hAnsi="Corbel" w:cs="Corbel"/>
                <w:b/>
                <w:color w:val="363636"/>
                <w:sz w:val="28"/>
              </w:rPr>
              <w:t xml:space="preserve"> </w:t>
            </w:r>
          </w:p>
          <w:p w14:paraId="4182B937" w14:textId="77777777" w:rsidR="00736494" w:rsidRDefault="009156A5">
            <w:pPr>
              <w:jc w:val="center"/>
            </w:pPr>
            <w:r>
              <w:rPr>
                <w:rFonts w:ascii="Corbel" w:eastAsia="Corbel" w:hAnsi="Corbel" w:cs="Corbel"/>
                <w:b/>
                <w:color w:val="363636"/>
                <w:sz w:val="28"/>
              </w:rPr>
              <w:t xml:space="preserve">Definitions for ADU Types </w:t>
            </w:r>
          </w:p>
        </w:tc>
        <w:tc>
          <w:tcPr>
            <w:tcW w:w="6663" w:type="dxa"/>
            <w:tcBorders>
              <w:top w:val="single" w:sz="4" w:space="0" w:color="000000"/>
              <w:left w:val="single" w:sz="4" w:space="0" w:color="000000"/>
              <w:bottom w:val="single" w:sz="4" w:space="0" w:color="000000"/>
              <w:right w:val="single" w:sz="4" w:space="0" w:color="000000"/>
            </w:tcBorders>
            <w:vAlign w:val="bottom"/>
          </w:tcPr>
          <w:p w14:paraId="4F0838F7" w14:textId="77777777" w:rsidR="00736494" w:rsidRDefault="009156A5">
            <w:pPr>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Attached ADU </w:t>
            </w:r>
          </w:p>
          <w:p w14:paraId="097E283C" w14:textId="77777777" w:rsidR="00736494" w:rsidRDefault="009156A5">
            <w:pPr>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Internal ADU </w:t>
            </w:r>
          </w:p>
          <w:p w14:paraId="47DA4ABB" w14:textId="77777777" w:rsidR="00736494" w:rsidRDefault="009156A5">
            <w:pPr>
              <w:spacing w:after="34"/>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Detached ADU </w:t>
            </w:r>
          </w:p>
          <w:p w14:paraId="1C71C5F9" w14:textId="77777777" w:rsidR="00736494" w:rsidRDefault="009156A5">
            <w:r>
              <w:rPr>
                <w:rFonts w:ascii="Corbel" w:eastAsia="Corbel" w:hAnsi="Corbel" w:cs="Corbel"/>
                <w:i/>
                <w:color w:val="363636"/>
                <w:sz w:val="21"/>
              </w:rPr>
              <w:t>Comment</w:t>
            </w:r>
            <w:r>
              <w:rPr>
                <w:rFonts w:ascii="Corbel" w:eastAsia="Corbel" w:hAnsi="Corbel" w:cs="Corbel"/>
                <w:color w:val="363636"/>
                <w:sz w:val="21"/>
              </w:rPr>
              <w:t>: These definitions may or may not be needed depending on other criteria imposed.  For example, if setback requirements vary depending on whether an accessory dwelling is attached or detached, then definitions will be needed.</w:t>
            </w:r>
            <w:r>
              <w:rPr>
                <w:rFonts w:ascii="Corbel" w:eastAsia="Corbel" w:hAnsi="Corbel" w:cs="Corbel"/>
                <w:b/>
                <w:color w:val="363636"/>
                <w:sz w:val="21"/>
              </w:rPr>
              <w:t xml:space="preserve"> </w:t>
            </w:r>
          </w:p>
        </w:tc>
      </w:tr>
      <w:tr w:rsidR="00736494" w14:paraId="40CABD1A" w14:textId="77777777">
        <w:trPr>
          <w:trHeight w:val="2375"/>
        </w:trPr>
        <w:tc>
          <w:tcPr>
            <w:tcW w:w="674" w:type="dxa"/>
            <w:vMerge w:val="restart"/>
            <w:tcBorders>
              <w:top w:val="single" w:sz="4" w:space="0" w:color="000000"/>
              <w:left w:val="single" w:sz="4" w:space="0" w:color="000000"/>
              <w:bottom w:val="single" w:sz="4" w:space="0" w:color="000000"/>
              <w:right w:val="single" w:sz="4" w:space="0" w:color="000000"/>
            </w:tcBorders>
            <w:shd w:val="clear" w:color="auto" w:fill="DBEEA6"/>
          </w:tcPr>
          <w:p w14:paraId="37560936" w14:textId="77777777" w:rsidR="00736494" w:rsidRDefault="009156A5">
            <w:pPr>
              <w:ind w:left="79"/>
            </w:pPr>
            <w:r>
              <w:rPr>
                <w:noProof/>
              </w:rPr>
              <mc:AlternateContent>
                <mc:Choice Requires="wpg">
                  <w:drawing>
                    <wp:inline distT="0" distB="0" distL="0" distR="0" wp14:anchorId="08613F9B" wp14:editId="15D1D343">
                      <wp:extent cx="231391" cy="1966370"/>
                      <wp:effectExtent l="0" t="0" r="0" b="0"/>
                      <wp:docPr id="34884" name="Group 34884"/>
                      <wp:cNvGraphicFramePr/>
                      <a:graphic xmlns:a="http://schemas.openxmlformats.org/drawingml/2006/main">
                        <a:graphicData uri="http://schemas.microsoft.com/office/word/2010/wordprocessingGroup">
                          <wpg:wgp>
                            <wpg:cNvGrpSpPr/>
                            <wpg:grpSpPr>
                              <a:xfrm>
                                <a:off x="0" y="0"/>
                                <a:ext cx="231391" cy="1966370"/>
                                <a:chOff x="0" y="0"/>
                                <a:chExt cx="231391" cy="1966370"/>
                              </a:xfrm>
                            </wpg:grpSpPr>
                            <wps:wsp>
                              <wps:cNvPr id="3101" name="Rectangle 3101"/>
                              <wps:cNvSpPr/>
                              <wps:spPr>
                                <a:xfrm rot="-5399999">
                                  <a:off x="-420756" y="1237863"/>
                                  <a:ext cx="1149264" cy="307749"/>
                                </a:xfrm>
                                <a:prstGeom prst="rect">
                                  <a:avLst/>
                                </a:prstGeom>
                                <a:ln>
                                  <a:noFill/>
                                </a:ln>
                              </wps:spPr>
                              <wps:txbx>
                                <w:txbxContent>
                                  <w:p w14:paraId="54CEC6F4" w14:textId="77777777" w:rsidR="00736494" w:rsidRDefault="009156A5">
                                    <w:r>
                                      <w:rPr>
                                        <w:rFonts w:ascii="Corbel" w:eastAsia="Corbel" w:hAnsi="Corbel" w:cs="Corbel"/>
                                        <w:b/>
                                        <w:color w:val="363636"/>
                                        <w:sz w:val="36"/>
                                      </w:rPr>
                                      <w:t>Optional</w:t>
                                    </w:r>
                                  </w:p>
                                </w:txbxContent>
                              </wps:txbx>
                              <wps:bodyPr horzOverflow="overflow" vert="horz" lIns="0" tIns="0" rIns="0" bIns="0" rtlCol="0">
                                <a:noAutofit/>
                              </wps:bodyPr>
                            </wps:wsp>
                            <wps:wsp>
                              <wps:cNvPr id="3102" name="Rectangle 3102"/>
                              <wps:cNvSpPr/>
                              <wps:spPr>
                                <a:xfrm rot="-5399999">
                                  <a:off x="122559" y="916817"/>
                                  <a:ext cx="62632" cy="307749"/>
                                </a:xfrm>
                                <a:prstGeom prst="rect">
                                  <a:avLst/>
                                </a:prstGeom>
                                <a:ln>
                                  <a:noFill/>
                                </a:ln>
                              </wps:spPr>
                              <wps:txbx>
                                <w:txbxContent>
                                  <w:p w14:paraId="497EA20E"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s:wsp>
                              <wps:cNvPr id="3103" name="Rectangle 3103"/>
                              <wps:cNvSpPr/>
                              <wps:spPr>
                                <a:xfrm rot="-5399999">
                                  <a:off x="-523065" y="223949"/>
                                  <a:ext cx="1353881" cy="307749"/>
                                </a:xfrm>
                                <a:prstGeom prst="rect">
                                  <a:avLst/>
                                </a:prstGeom>
                                <a:ln>
                                  <a:noFill/>
                                </a:ln>
                              </wps:spPr>
                              <wps:txbx>
                                <w:txbxContent>
                                  <w:p w14:paraId="37D38ECC" w14:textId="77777777" w:rsidR="00736494" w:rsidRDefault="009156A5">
                                    <w:r>
                                      <w:rPr>
                                        <w:rFonts w:ascii="Corbel" w:eastAsia="Corbel" w:hAnsi="Corbel" w:cs="Corbel"/>
                                        <w:b/>
                                        <w:color w:val="363636"/>
                                        <w:sz w:val="36"/>
                                      </w:rPr>
                                      <w:t>Provisions</w:t>
                                    </w:r>
                                  </w:p>
                                </w:txbxContent>
                              </wps:txbx>
                              <wps:bodyPr horzOverflow="overflow" vert="horz" lIns="0" tIns="0" rIns="0" bIns="0" rtlCol="0">
                                <a:noAutofit/>
                              </wps:bodyPr>
                            </wps:wsp>
                            <wps:wsp>
                              <wps:cNvPr id="3104" name="Rectangle 3104"/>
                              <wps:cNvSpPr/>
                              <wps:spPr>
                                <a:xfrm rot="-5399999">
                                  <a:off x="132996" y="-107716"/>
                                  <a:ext cx="48853" cy="240045"/>
                                </a:xfrm>
                                <a:prstGeom prst="rect">
                                  <a:avLst/>
                                </a:prstGeom>
                                <a:ln>
                                  <a:noFill/>
                                </a:ln>
                              </wps:spPr>
                              <wps:txbx>
                                <w:txbxContent>
                                  <w:p w14:paraId="600398E4" w14:textId="77777777" w:rsidR="00736494" w:rsidRDefault="009156A5">
                                    <w:r>
                                      <w:rPr>
                                        <w:rFonts w:ascii="Corbel" w:eastAsia="Corbel" w:hAnsi="Corbel" w:cs="Corbel"/>
                                        <w:b/>
                                        <w:color w:val="363636"/>
                                        <w:sz w:val="2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4884" style="width:18.2197pt;height:154.832pt;mso-position-horizontal-relative:char;mso-position-vertical-relative:line" coordsize="2313,19663">
                      <v:rect id="Rectangle 3101" style="position:absolute;width:11492;height:3077;left:-4207;top:12378;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Optional</w:t>
                              </w:r>
                            </w:p>
                          </w:txbxContent>
                        </v:textbox>
                      </v:rect>
                      <v:rect id="Rectangle 3102" style="position:absolute;width:626;height:3077;left:1225;top:9168;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rect id="Rectangle 3103" style="position:absolute;width:13538;height:3077;left:-5230;top:2239;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Provisions</w:t>
                              </w:r>
                            </w:p>
                          </w:txbxContent>
                        </v:textbox>
                      </v:rect>
                      <v:rect id="Rectangle 3104" style="position:absolute;width:488;height:2400;left:1329;top:-1077;rotation:270;" filled="f" stroked="f">
                        <v:textbox inset="0,0,0,0" style="layout-flow:vertical;mso-layout-flow-alt:bottom-to-top">
                          <w:txbxContent>
                            <w:p>
                              <w:pPr>
                                <w:spacing w:before="0" w:after="160" w:line="259" w:lineRule="auto"/>
                              </w:pPr>
                              <w:r>
                                <w:rPr>
                                  <w:rFonts w:cs="Corbel" w:hAnsi="Corbel" w:eastAsia="Corbel" w:ascii="Corbel"/>
                                  <w:b w:val="1"/>
                                  <w:color w:val="363636"/>
                                  <w:sz w:val="28"/>
                                </w:rPr>
                                <w:t xml:space="preserve"> </w:t>
                              </w:r>
                            </w:p>
                          </w:txbxContent>
                        </v:textbox>
                      </v:rect>
                    </v:group>
                  </w:pict>
                </mc:Fallback>
              </mc:AlternateContent>
            </w:r>
          </w:p>
        </w:tc>
        <w:tc>
          <w:tcPr>
            <w:tcW w:w="1948" w:type="dxa"/>
            <w:tcBorders>
              <w:top w:val="single" w:sz="4" w:space="0" w:color="000000"/>
              <w:left w:val="single" w:sz="4" w:space="0" w:color="000000"/>
              <w:bottom w:val="single" w:sz="4" w:space="0" w:color="000000"/>
              <w:right w:val="single" w:sz="4" w:space="0" w:color="000000"/>
            </w:tcBorders>
          </w:tcPr>
          <w:p w14:paraId="7AAC3FD2" w14:textId="77777777" w:rsidR="00736494" w:rsidRDefault="009156A5">
            <w:pPr>
              <w:jc w:val="center"/>
            </w:pPr>
            <w:r>
              <w:rPr>
                <w:rFonts w:ascii="Corbel" w:eastAsia="Corbel" w:hAnsi="Corbel" w:cs="Corbel"/>
                <w:b/>
                <w:color w:val="363636"/>
                <w:sz w:val="28"/>
              </w:rPr>
              <w:t xml:space="preserve">Approval Process </w:t>
            </w:r>
          </w:p>
        </w:tc>
        <w:tc>
          <w:tcPr>
            <w:tcW w:w="6824" w:type="dxa"/>
            <w:gridSpan w:val="2"/>
            <w:tcBorders>
              <w:top w:val="single" w:sz="4" w:space="0" w:color="000000"/>
              <w:left w:val="single" w:sz="4" w:space="0" w:color="000000"/>
              <w:bottom w:val="single" w:sz="4" w:space="0" w:color="000000"/>
              <w:right w:val="single" w:sz="4" w:space="0" w:color="000000"/>
            </w:tcBorders>
            <w:vAlign w:val="bottom"/>
          </w:tcPr>
          <w:p w14:paraId="3D194803" w14:textId="77777777" w:rsidR="00736494" w:rsidRDefault="009156A5">
            <w:pPr>
              <w:spacing w:after="55" w:line="262" w:lineRule="auto"/>
              <w:ind w:left="720" w:hanging="403"/>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32"/>
                <w:vertAlign w:val="superscript"/>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An ADU that meets all zoning criteria, may be approved by staff without a public hearing. </w:t>
            </w:r>
            <w:r>
              <w:rPr>
                <w:rFonts w:ascii="Corbel" w:eastAsia="Corbel" w:hAnsi="Corbel" w:cs="Corbel"/>
                <w:b/>
                <w:i/>
                <w:color w:val="00CC00"/>
                <w:sz w:val="21"/>
              </w:rPr>
              <w:t>(Recommended)</w:t>
            </w:r>
            <w:r>
              <w:rPr>
                <w:rFonts w:ascii="Corbel" w:eastAsia="Corbel" w:hAnsi="Corbel" w:cs="Corbel"/>
                <w:b/>
                <w:color w:val="363636"/>
                <w:sz w:val="21"/>
              </w:rPr>
              <w:t xml:space="preserve"> </w:t>
            </w:r>
          </w:p>
          <w:p w14:paraId="0DEC6426" w14:textId="77777777" w:rsidR="00736494" w:rsidRDefault="009156A5">
            <w:r>
              <w:rPr>
                <w:rFonts w:ascii="Corbel" w:eastAsia="Corbel" w:hAnsi="Corbel" w:cs="Corbel"/>
                <w:i/>
                <w:color w:val="363636"/>
                <w:sz w:val="21"/>
              </w:rPr>
              <w:t>Comment</w:t>
            </w:r>
            <w:r>
              <w:rPr>
                <w:rFonts w:ascii="Corbel" w:eastAsia="Corbel" w:hAnsi="Corbel" w:cs="Corbel"/>
                <w:color w:val="363636"/>
                <w:sz w:val="21"/>
              </w:rPr>
              <w:t xml:space="preserve">:  Allowing ADU’s to be approved by staff-level review is highly recommended.  The zoning code should be drafted to provide clear guidelines for staff, but allow some discretion given the wide variety of site conditions.  Staff review is preferable to a Special Exception of Conditional Use Permit hearing, during which emotions (rather than facts) can unduly influence the review and approval process. </w:t>
            </w:r>
          </w:p>
        </w:tc>
      </w:tr>
      <w:tr w:rsidR="00736494" w14:paraId="16FE2C65" w14:textId="77777777">
        <w:trPr>
          <w:trHeight w:val="2468"/>
        </w:trPr>
        <w:tc>
          <w:tcPr>
            <w:tcW w:w="0" w:type="auto"/>
            <w:vMerge/>
            <w:tcBorders>
              <w:top w:val="nil"/>
              <w:left w:val="single" w:sz="4" w:space="0" w:color="000000"/>
              <w:bottom w:val="nil"/>
              <w:right w:val="single" w:sz="4" w:space="0" w:color="000000"/>
            </w:tcBorders>
          </w:tcPr>
          <w:p w14:paraId="3CC56A3C" w14:textId="77777777" w:rsidR="00736494" w:rsidRDefault="00736494"/>
        </w:tc>
        <w:tc>
          <w:tcPr>
            <w:tcW w:w="1948" w:type="dxa"/>
            <w:tcBorders>
              <w:top w:val="single" w:sz="4" w:space="0" w:color="000000"/>
              <w:left w:val="single" w:sz="4" w:space="0" w:color="000000"/>
              <w:bottom w:val="single" w:sz="4" w:space="0" w:color="000000"/>
              <w:right w:val="single" w:sz="4" w:space="0" w:color="000000"/>
            </w:tcBorders>
          </w:tcPr>
          <w:p w14:paraId="7C8946D3" w14:textId="77777777" w:rsidR="00736494" w:rsidRDefault="009156A5">
            <w:pPr>
              <w:ind w:right="48"/>
              <w:jc w:val="center"/>
            </w:pPr>
            <w:r>
              <w:rPr>
                <w:rFonts w:ascii="Corbel" w:eastAsia="Corbel" w:hAnsi="Corbel" w:cs="Corbel"/>
                <w:b/>
                <w:color w:val="363636"/>
                <w:sz w:val="28"/>
              </w:rPr>
              <w:t xml:space="preserve">Vehicular </w:t>
            </w:r>
          </w:p>
          <w:p w14:paraId="396F1459" w14:textId="77777777" w:rsidR="00736494" w:rsidRDefault="009156A5">
            <w:pPr>
              <w:ind w:right="44"/>
              <w:jc w:val="center"/>
            </w:pPr>
            <w:r>
              <w:rPr>
                <w:rFonts w:ascii="Corbel" w:eastAsia="Corbel" w:hAnsi="Corbel" w:cs="Corbel"/>
                <w:b/>
                <w:color w:val="363636"/>
                <w:sz w:val="28"/>
              </w:rPr>
              <w:t xml:space="preserve">Access </w:t>
            </w:r>
          </w:p>
          <w:p w14:paraId="756C725F" w14:textId="77777777" w:rsidR="00736494" w:rsidRDefault="009156A5">
            <w:pPr>
              <w:ind w:left="1"/>
            </w:pPr>
            <w:r>
              <w:rPr>
                <w:rFonts w:ascii="Corbel" w:eastAsia="Corbel" w:hAnsi="Corbel" w:cs="Corbel"/>
                <w:b/>
                <w:i/>
                <w:color w:val="363636"/>
                <w:sz w:val="28"/>
              </w:rPr>
              <w:t xml:space="preserve"> </w:t>
            </w:r>
          </w:p>
        </w:tc>
        <w:tc>
          <w:tcPr>
            <w:tcW w:w="6824" w:type="dxa"/>
            <w:gridSpan w:val="2"/>
            <w:tcBorders>
              <w:top w:val="single" w:sz="4" w:space="0" w:color="000000"/>
              <w:left w:val="single" w:sz="4" w:space="0" w:color="000000"/>
              <w:bottom w:val="single" w:sz="4" w:space="0" w:color="000000"/>
              <w:right w:val="single" w:sz="4" w:space="0" w:color="000000"/>
            </w:tcBorders>
            <w:vAlign w:val="bottom"/>
          </w:tcPr>
          <w:p w14:paraId="5C6C90C2" w14:textId="77777777" w:rsidR="00736494" w:rsidRDefault="009156A5">
            <w:pPr>
              <w:spacing w:after="155"/>
            </w:pPr>
            <w:r>
              <w:rPr>
                <w:rFonts w:ascii="Corbel" w:eastAsia="Corbel" w:hAnsi="Corbel" w:cs="Corbel"/>
                <w:b/>
                <w:color w:val="363636"/>
                <w:sz w:val="21"/>
              </w:rPr>
              <w:t xml:space="preserve">Options: </w:t>
            </w:r>
          </w:p>
          <w:p w14:paraId="4BFA5232" w14:textId="77777777" w:rsidR="00736494" w:rsidRDefault="009156A5">
            <w:pPr>
              <w:ind w:left="317"/>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Not specify </w:t>
            </w:r>
            <w:r>
              <w:rPr>
                <w:rFonts w:ascii="Corbel" w:eastAsia="Corbel" w:hAnsi="Corbel" w:cs="Corbel"/>
                <w:b/>
                <w:i/>
                <w:color w:val="00CC00"/>
                <w:sz w:val="21"/>
              </w:rPr>
              <w:t>(Recommended)</w:t>
            </w:r>
            <w:r>
              <w:rPr>
                <w:rFonts w:ascii="Corbel" w:eastAsia="Corbel" w:hAnsi="Corbel" w:cs="Corbel"/>
                <w:color w:val="363636"/>
                <w:sz w:val="21"/>
              </w:rPr>
              <w:t xml:space="preserve"> </w:t>
            </w:r>
          </w:p>
          <w:p w14:paraId="5D301B55" w14:textId="77777777" w:rsidR="00736494" w:rsidRDefault="009156A5">
            <w:pPr>
              <w:spacing w:after="31"/>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Require vehicular access from a public street  </w:t>
            </w:r>
          </w:p>
          <w:p w14:paraId="19957D8C" w14:textId="77777777" w:rsidR="00736494" w:rsidRDefault="009156A5">
            <w:r>
              <w:rPr>
                <w:rFonts w:ascii="Corbel" w:eastAsia="Corbel" w:hAnsi="Corbel" w:cs="Corbel"/>
                <w:i/>
                <w:color w:val="363636"/>
                <w:sz w:val="21"/>
              </w:rPr>
              <w:t>Comment</w:t>
            </w:r>
            <w:r>
              <w:rPr>
                <w:rFonts w:ascii="Corbel" w:eastAsia="Corbel" w:hAnsi="Corbel" w:cs="Corbel"/>
                <w:color w:val="363636"/>
                <w:sz w:val="21"/>
              </w:rPr>
              <w:t xml:space="preserve">: Recommend not specifying the vehicular access for the accessory dwelling, and allow staff-level review and approval of adequate vehicular access.  The State law allows, but does not require, a local jurisdiction to prohibit conversion of an accessory structure to an accessory dwelling if the only vehicular access is an alley.   </w:t>
            </w:r>
          </w:p>
        </w:tc>
      </w:tr>
      <w:tr w:rsidR="00736494" w14:paraId="7B3070D9" w14:textId="77777777">
        <w:trPr>
          <w:trHeight w:val="2468"/>
        </w:trPr>
        <w:tc>
          <w:tcPr>
            <w:tcW w:w="0" w:type="auto"/>
            <w:vMerge/>
            <w:tcBorders>
              <w:top w:val="nil"/>
              <w:left w:val="single" w:sz="4" w:space="0" w:color="000000"/>
              <w:bottom w:val="nil"/>
              <w:right w:val="single" w:sz="4" w:space="0" w:color="000000"/>
            </w:tcBorders>
          </w:tcPr>
          <w:p w14:paraId="2FF9CB93" w14:textId="77777777" w:rsidR="00736494" w:rsidRDefault="00736494"/>
        </w:tc>
        <w:tc>
          <w:tcPr>
            <w:tcW w:w="1948" w:type="dxa"/>
            <w:tcBorders>
              <w:top w:val="single" w:sz="4" w:space="0" w:color="000000"/>
              <w:left w:val="single" w:sz="4" w:space="0" w:color="000000"/>
              <w:bottom w:val="single" w:sz="4" w:space="0" w:color="000000"/>
              <w:right w:val="single" w:sz="4" w:space="0" w:color="000000"/>
            </w:tcBorders>
          </w:tcPr>
          <w:p w14:paraId="1D0398AD" w14:textId="77777777" w:rsidR="00736494" w:rsidRDefault="009156A5">
            <w:pPr>
              <w:ind w:left="85" w:right="72"/>
              <w:jc w:val="center"/>
            </w:pPr>
            <w:r>
              <w:rPr>
                <w:rFonts w:ascii="Corbel" w:eastAsia="Corbel" w:hAnsi="Corbel" w:cs="Corbel"/>
                <w:b/>
                <w:color w:val="363636"/>
                <w:sz w:val="28"/>
              </w:rPr>
              <w:t xml:space="preserve">Access (Front Door) </w:t>
            </w:r>
          </w:p>
        </w:tc>
        <w:tc>
          <w:tcPr>
            <w:tcW w:w="6824" w:type="dxa"/>
            <w:gridSpan w:val="2"/>
            <w:tcBorders>
              <w:top w:val="single" w:sz="4" w:space="0" w:color="000000"/>
              <w:left w:val="single" w:sz="4" w:space="0" w:color="000000"/>
              <w:bottom w:val="single" w:sz="4" w:space="0" w:color="000000"/>
              <w:right w:val="single" w:sz="4" w:space="0" w:color="000000"/>
            </w:tcBorders>
            <w:vAlign w:val="bottom"/>
          </w:tcPr>
          <w:p w14:paraId="2E04E942" w14:textId="77777777" w:rsidR="00736494" w:rsidRDefault="009156A5">
            <w:pPr>
              <w:spacing w:after="125"/>
            </w:pPr>
            <w:r>
              <w:rPr>
                <w:rFonts w:ascii="Corbel" w:eastAsia="Corbel" w:hAnsi="Corbel" w:cs="Corbel"/>
                <w:b/>
                <w:color w:val="363636"/>
                <w:sz w:val="21"/>
              </w:rPr>
              <w:t xml:space="preserve">Options: </w:t>
            </w:r>
          </w:p>
          <w:p w14:paraId="0D755C9A" w14:textId="77777777" w:rsidR="00736494" w:rsidRDefault="009156A5">
            <w:pPr>
              <w:spacing w:line="254" w:lineRule="auto"/>
              <w:ind w:left="720" w:hanging="394"/>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An ADU must have a direct exterior access that is separate from the existing primary dwelling.  </w:t>
            </w:r>
            <w:r>
              <w:rPr>
                <w:rFonts w:ascii="Corbel" w:eastAsia="Corbel" w:hAnsi="Corbel" w:cs="Corbel"/>
                <w:b/>
                <w:i/>
                <w:color w:val="363636"/>
                <w:sz w:val="21"/>
              </w:rPr>
              <w:t xml:space="preserve">Administrator has discretion to waive if the entrance does not go into or through the primary dwelling unit </w:t>
            </w:r>
            <w:r>
              <w:rPr>
                <w:rFonts w:ascii="Corbel" w:eastAsia="Corbel" w:hAnsi="Corbel" w:cs="Corbel"/>
                <w:b/>
                <w:i/>
                <w:color w:val="00CC00"/>
                <w:sz w:val="21"/>
              </w:rPr>
              <w:t>(Recommended)</w:t>
            </w:r>
            <w:r>
              <w:rPr>
                <w:rFonts w:ascii="Corbel" w:eastAsia="Corbel" w:hAnsi="Corbel" w:cs="Corbel"/>
                <w:b/>
                <w:color w:val="363636"/>
                <w:sz w:val="21"/>
              </w:rPr>
              <w:t xml:space="preserve"> </w:t>
            </w:r>
          </w:p>
          <w:p w14:paraId="6A6E2854" w14:textId="77777777" w:rsidR="00736494" w:rsidRDefault="009156A5">
            <w:pPr>
              <w:spacing w:after="34"/>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No requirement for direct outside access </w:t>
            </w:r>
          </w:p>
          <w:p w14:paraId="1F0E1B0C" w14:textId="77777777" w:rsidR="00736494" w:rsidRDefault="009156A5">
            <w:r>
              <w:rPr>
                <w:rFonts w:ascii="Corbel" w:eastAsia="Corbel" w:hAnsi="Corbel" w:cs="Corbel"/>
                <w:i/>
                <w:color w:val="363636"/>
                <w:sz w:val="21"/>
              </w:rPr>
              <w:t>Comment</w:t>
            </w:r>
            <w:r>
              <w:rPr>
                <w:rFonts w:ascii="Corbel" w:eastAsia="Corbel" w:hAnsi="Corbel" w:cs="Corbel"/>
                <w:color w:val="363636"/>
                <w:sz w:val="21"/>
              </w:rPr>
              <w:t xml:space="preserve">: As the ADU is intended to be a complete independent living unit, recommend that ADU’s have a separate, direct exterior access.  </w:t>
            </w:r>
            <w:r>
              <w:rPr>
                <w:rFonts w:ascii="Corbel" w:eastAsia="Corbel" w:hAnsi="Corbel" w:cs="Corbel"/>
                <w:b/>
                <w:color w:val="363636"/>
                <w:sz w:val="21"/>
              </w:rPr>
              <w:t xml:space="preserve"> </w:t>
            </w:r>
          </w:p>
        </w:tc>
      </w:tr>
      <w:tr w:rsidR="00736494" w14:paraId="3116713A" w14:textId="77777777">
        <w:trPr>
          <w:trHeight w:val="2160"/>
        </w:trPr>
        <w:tc>
          <w:tcPr>
            <w:tcW w:w="0" w:type="auto"/>
            <w:vMerge/>
            <w:tcBorders>
              <w:top w:val="nil"/>
              <w:left w:val="single" w:sz="4" w:space="0" w:color="000000"/>
              <w:bottom w:val="nil"/>
              <w:right w:val="single" w:sz="4" w:space="0" w:color="000000"/>
            </w:tcBorders>
          </w:tcPr>
          <w:p w14:paraId="0C663EB4" w14:textId="77777777" w:rsidR="00736494" w:rsidRDefault="00736494"/>
        </w:tc>
        <w:tc>
          <w:tcPr>
            <w:tcW w:w="1948" w:type="dxa"/>
            <w:tcBorders>
              <w:top w:val="single" w:sz="4" w:space="0" w:color="000000"/>
              <w:left w:val="single" w:sz="4" w:space="0" w:color="000000"/>
              <w:bottom w:val="single" w:sz="4" w:space="0" w:color="000000"/>
              <w:right w:val="single" w:sz="4" w:space="0" w:color="000000"/>
            </w:tcBorders>
          </w:tcPr>
          <w:p w14:paraId="49803B42" w14:textId="77777777" w:rsidR="00736494" w:rsidRDefault="009156A5">
            <w:pPr>
              <w:ind w:right="45"/>
              <w:jc w:val="center"/>
            </w:pPr>
            <w:r>
              <w:rPr>
                <w:rFonts w:ascii="Corbel" w:eastAsia="Corbel" w:hAnsi="Corbel" w:cs="Corbel"/>
                <w:b/>
                <w:color w:val="363636"/>
                <w:sz w:val="28"/>
              </w:rPr>
              <w:t>Non-</w:t>
            </w:r>
          </w:p>
          <w:p w14:paraId="576E31D6" w14:textId="77777777" w:rsidR="00736494" w:rsidRDefault="009156A5">
            <w:pPr>
              <w:ind w:left="145"/>
            </w:pPr>
            <w:r>
              <w:rPr>
                <w:rFonts w:ascii="Corbel" w:eastAsia="Corbel" w:hAnsi="Corbel" w:cs="Corbel"/>
                <w:b/>
                <w:color w:val="363636"/>
                <w:sz w:val="28"/>
              </w:rPr>
              <w:t xml:space="preserve">Conforming </w:t>
            </w:r>
          </w:p>
          <w:p w14:paraId="397AB6EF" w14:textId="77777777" w:rsidR="00736494" w:rsidRDefault="009156A5">
            <w:pPr>
              <w:ind w:right="46"/>
              <w:jc w:val="center"/>
            </w:pPr>
            <w:r>
              <w:rPr>
                <w:rFonts w:ascii="Corbel" w:eastAsia="Corbel" w:hAnsi="Corbel" w:cs="Corbel"/>
                <w:b/>
                <w:color w:val="363636"/>
                <w:sz w:val="28"/>
              </w:rPr>
              <w:t xml:space="preserve">Lots </w:t>
            </w:r>
          </w:p>
          <w:p w14:paraId="33C8C0A6" w14:textId="77777777" w:rsidR="00736494" w:rsidRDefault="009156A5">
            <w:pPr>
              <w:ind w:left="13"/>
              <w:jc w:val="center"/>
            </w:pPr>
            <w:r>
              <w:rPr>
                <w:rFonts w:ascii="Corbel" w:eastAsia="Corbel" w:hAnsi="Corbel" w:cs="Corbel"/>
                <w:b/>
                <w:color w:val="363636"/>
                <w:sz w:val="28"/>
              </w:rPr>
              <w:t xml:space="preserve"> </w:t>
            </w:r>
          </w:p>
        </w:tc>
        <w:tc>
          <w:tcPr>
            <w:tcW w:w="6824" w:type="dxa"/>
            <w:gridSpan w:val="2"/>
            <w:tcBorders>
              <w:top w:val="single" w:sz="4" w:space="0" w:color="000000"/>
              <w:left w:val="single" w:sz="4" w:space="0" w:color="000000"/>
              <w:bottom w:val="single" w:sz="4" w:space="0" w:color="000000"/>
              <w:right w:val="single" w:sz="4" w:space="0" w:color="000000"/>
            </w:tcBorders>
            <w:vAlign w:val="bottom"/>
          </w:tcPr>
          <w:p w14:paraId="37936145" w14:textId="77777777" w:rsidR="00736494" w:rsidRDefault="009156A5">
            <w:pPr>
              <w:spacing w:after="104" w:line="254" w:lineRule="auto"/>
              <w:ind w:left="720" w:right="41" w:hanging="398"/>
              <w:jc w:val="both"/>
            </w:pPr>
            <w:r>
              <w:rPr>
                <w:rFonts w:ascii="Segoe UI Symbol" w:eastAsia="Segoe UI Symbol" w:hAnsi="Segoe UI Symbol" w:cs="Segoe UI Symbol"/>
                <w:color w:val="00B050"/>
                <w:sz w:val="32"/>
              </w:rPr>
              <w:t>✓</w:t>
            </w:r>
            <w:r>
              <w:rPr>
                <w:rFonts w:ascii="Segoe UI Symbol" w:eastAsia="Segoe UI Symbol" w:hAnsi="Segoe UI Symbol" w:cs="Segoe UI Symbol"/>
                <w:color w:val="333333"/>
                <w:sz w:val="21"/>
              </w:rPr>
              <w:t></w:t>
            </w:r>
            <w:r>
              <w:rPr>
                <w:rFonts w:ascii="Arial" w:eastAsia="Arial" w:hAnsi="Arial" w:cs="Arial"/>
                <w:color w:val="333333"/>
                <w:sz w:val="21"/>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An accessory dwelling is allowed on an existing lot of record with a non-conforming lot size and/or a non-conforming setback if the accessory dwelling does not increase the non-conforming setback. </w:t>
            </w:r>
            <w:r>
              <w:rPr>
                <w:rFonts w:ascii="Corbel" w:eastAsia="Corbel" w:hAnsi="Corbel" w:cs="Corbel"/>
                <w:b/>
                <w:i/>
                <w:color w:val="00CC00"/>
                <w:sz w:val="21"/>
              </w:rPr>
              <w:t>(Recommended)</w:t>
            </w:r>
            <w:r>
              <w:rPr>
                <w:rFonts w:ascii="Corbel" w:eastAsia="Corbel" w:hAnsi="Corbel" w:cs="Corbel"/>
                <w:b/>
                <w:color w:val="333333"/>
                <w:sz w:val="21"/>
              </w:rPr>
              <w:t xml:space="preserve"> </w:t>
            </w:r>
          </w:p>
          <w:p w14:paraId="2C075A0D" w14:textId="77777777" w:rsidR="00736494" w:rsidRDefault="009156A5">
            <w:r>
              <w:rPr>
                <w:rFonts w:ascii="Corbel" w:eastAsia="Corbel" w:hAnsi="Corbel" w:cs="Corbel"/>
                <w:i/>
                <w:color w:val="363636"/>
                <w:sz w:val="21"/>
              </w:rPr>
              <w:t>Comment</w:t>
            </w:r>
            <w:r>
              <w:rPr>
                <w:rFonts w:ascii="Corbel" w:eastAsia="Corbel" w:hAnsi="Corbel" w:cs="Corbel"/>
                <w:color w:val="363636"/>
                <w:sz w:val="21"/>
              </w:rPr>
              <w:t>: This provision recognizes that many older, existing lots of record may not meet current zoning dimensional standards, and provides some flexibility to allow an ADU on a non-conforming lot.</w:t>
            </w:r>
            <w:r>
              <w:rPr>
                <w:rFonts w:ascii="Corbel" w:eastAsia="Corbel" w:hAnsi="Corbel" w:cs="Corbel"/>
                <w:b/>
                <w:color w:val="363636"/>
                <w:sz w:val="21"/>
              </w:rPr>
              <w:t xml:space="preserve"> </w:t>
            </w:r>
          </w:p>
        </w:tc>
      </w:tr>
      <w:tr w:rsidR="00736494" w14:paraId="12E65AF9" w14:textId="77777777">
        <w:trPr>
          <w:trHeight w:val="2027"/>
        </w:trPr>
        <w:tc>
          <w:tcPr>
            <w:tcW w:w="0" w:type="auto"/>
            <w:vMerge/>
            <w:tcBorders>
              <w:top w:val="nil"/>
              <w:left w:val="single" w:sz="4" w:space="0" w:color="000000"/>
              <w:bottom w:val="single" w:sz="4" w:space="0" w:color="000000"/>
              <w:right w:val="single" w:sz="4" w:space="0" w:color="000000"/>
            </w:tcBorders>
          </w:tcPr>
          <w:p w14:paraId="45028301" w14:textId="77777777" w:rsidR="00736494" w:rsidRDefault="00736494"/>
        </w:tc>
        <w:tc>
          <w:tcPr>
            <w:tcW w:w="1948" w:type="dxa"/>
            <w:tcBorders>
              <w:top w:val="single" w:sz="4" w:space="0" w:color="000000"/>
              <w:left w:val="single" w:sz="4" w:space="0" w:color="000000"/>
              <w:bottom w:val="single" w:sz="4" w:space="0" w:color="000000"/>
              <w:right w:val="single" w:sz="4" w:space="0" w:color="000000"/>
            </w:tcBorders>
          </w:tcPr>
          <w:p w14:paraId="0C689B67" w14:textId="77777777" w:rsidR="00736494" w:rsidRDefault="009156A5">
            <w:pPr>
              <w:jc w:val="center"/>
            </w:pPr>
            <w:r>
              <w:rPr>
                <w:rFonts w:ascii="Corbel" w:eastAsia="Corbel" w:hAnsi="Corbel" w:cs="Corbel"/>
                <w:b/>
                <w:color w:val="363636"/>
                <w:sz w:val="28"/>
              </w:rPr>
              <w:t xml:space="preserve">Fire Sprinkler Systems </w:t>
            </w:r>
          </w:p>
        </w:tc>
        <w:tc>
          <w:tcPr>
            <w:tcW w:w="6824" w:type="dxa"/>
            <w:gridSpan w:val="2"/>
            <w:tcBorders>
              <w:top w:val="single" w:sz="4" w:space="0" w:color="000000"/>
              <w:left w:val="single" w:sz="4" w:space="0" w:color="000000"/>
              <w:bottom w:val="single" w:sz="4" w:space="0" w:color="000000"/>
              <w:right w:val="single" w:sz="4" w:space="0" w:color="000000"/>
            </w:tcBorders>
            <w:vAlign w:val="bottom"/>
          </w:tcPr>
          <w:p w14:paraId="241E7052" w14:textId="77777777" w:rsidR="00736494" w:rsidRDefault="009156A5">
            <w:pPr>
              <w:spacing w:line="239" w:lineRule="auto"/>
            </w:pPr>
            <w:r>
              <w:rPr>
                <w:rFonts w:ascii="Corbel" w:eastAsia="Corbel" w:hAnsi="Corbel" w:cs="Corbel"/>
                <w:i/>
                <w:color w:val="363636"/>
                <w:sz w:val="21"/>
              </w:rPr>
              <w:t xml:space="preserve">Comment: </w:t>
            </w:r>
            <w:r>
              <w:rPr>
                <w:rFonts w:ascii="Corbel" w:eastAsia="Corbel" w:hAnsi="Corbel" w:cs="Corbel"/>
                <w:color w:val="363636"/>
                <w:sz w:val="21"/>
              </w:rPr>
              <w:t xml:space="preserve"> Do not recommend addressing sprinklers in ADU Ordinance.  By State law, ADU’s are generally not required to have sprinkler systems if they are created within existing dwellings that do not have sprinkler systems.  Maryland requires sprinkler systems to be installed in all </w:t>
            </w:r>
            <w:r>
              <w:rPr>
                <w:rFonts w:ascii="Corbel" w:eastAsia="Corbel" w:hAnsi="Corbel" w:cs="Corbel"/>
                <w:b/>
                <w:i/>
                <w:color w:val="363636"/>
                <w:sz w:val="21"/>
              </w:rPr>
              <w:t>newly constructed</w:t>
            </w:r>
            <w:r>
              <w:rPr>
                <w:rFonts w:ascii="Corbel" w:eastAsia="Corbel" w:hAnsi="Corbel" w:cs="Corbel"/>
                <w:color w:val="363636"/>
                <w:sz w:val="21"/>
              </w:rPr>
              <w:t xml:space="preserve"> single-family and two-family dwellings, including ADU’s. </w:t>
            </w:r>
            <w:r>
              <w:rPr>
                <w:rFonts w:ascii="Corbel" w:eastAsia="Corbel" w:hAnsi="Corbel" w:cs="Corbel"/>
                <w:i/>
                <w:color w:val="363636"/>
                <w:sz w:val="21"/>
              </w:rPr>
              <w:t xml:space="preserve">Maryland Building Performance Standards Regulations, Md. Code Ann.§9.12.51.05(B)(1)(d). </w:t>
            </w:r>
          </w:p>
          <w:p w14:paraId="3EC7D294" w14:textId="77777777" w:rsidR="00736494" w:rsidRDefault="009156A5">
            <w:r>
              <w:rPr>
                <w:rFonts w:ascii="Corbel" w:eastAsia="Corbel" w:hAnsi="Corbel" w:cs="Corbel"/>
                <w:color w:val="363636"/>
                <w:sz w:val="21"/>
              </w:rPr>
              <w:t>Recommend checking with local building code officials.</w:t>
            </w:r>
            <w:r>
              <w:rPr>
                <w:rFonts w:ascii="Corbel" w:eastAsia="Corbel" w:hAnsi="Corbel" w:cs="Corbel"/>
                <w:b/>
                <w:color w:val="363636"/>
                <w:sz w:val="21"/>
              </w:rPr>
              <w:t xml:space="preserve"> </w:t>
            </w:r>
          </w:p>
        </w:tc>
      </w:tr>
    </w:tbl>
    <w:p w14:paraId="2A3CC8D1" w14:textId="77777777" w:rsidR="00736494" w:rsidRDefault="009156A5">
      <w:pPr>
        <w:spacing w:after="122"/>
        <w:jc w:val="both"/>
      </w:pPr>
      <w:r>
        <w:rPr>
          <w:rFonts w:ascii="Corbel" w:eastAsia="Corbel" w:hAnsi="Corbel" w:cs="Corbel"/>
          <w:sz w:val="21"/>
        </w:rPr>
        <w:t xml:space="preserve"> </w:t>
      </w:r>
    </w:p>
    <w:p w14:paraId="78F0C2E7" w14:textId="77777777" w:rsidR="00736494" w:rsidRDefault="009156A5">
      <w:pPr>
        <w:spacing w:after="0"/>
        <w:jc w:val="both"/>
      </w:pPr>
      <w:r>
        <w:rPr>
          <w:rFonts w:ascii="Corbel" w:eastAsia="Corbel" w:hAnsi="Corbel" w:cs="Corbel"/>
          <w:sz w:val="21"/>
        </w:rPr>
        <w:t xml:space="preserve"> </w:t>
      </w:r>
    </w:p>
    <w:tbl>
      <w:tblPr>
        <w:tblStyle w:val="TableGrid"/>
        <w:tblW w:w="9536" w:type="dxa"/>
        <w:tblInd w:w="6" w:type="dxa"/>
        <w:tblCellMar>
          <w:top w:w="138" w:type="dxa"/>
          <w:left w:w="108" w:type="dxa"/>
          <w:bottom w:w="82" w:type="dxa"/>
          <w:right w:w="60" w:type="dxa"/>
        </w:tblCellMar>
        <w:tblLook w:val="04A0" w:firstRow="1" w:lastRow="0" w:firstColumn="1" w:lastColumn="0" w:noHBand="0" w:noVBand="1"/>
      </w:tblPr>
      <w:tblGrid>
        <w:gridCol w:w="671"/>
        <w:gridCol w:w="2105"/>
        <w:gridCol w:w="6760"/>
      </w:tblGrid>
      <w:tr w:rsidR="00736494" w14:paraId="560D345A" w14:textId="77777777">
        <w:trPr>
          <w:trHeight w:val="6013"/>
        </w:trPr>
        <w:tc>
          <w:tcPr>
            <w:tcW w:w="671" w:type="dxa"/>
            <w:vMerge w:val="restart"/>
            <w:tcBorders>
              <w:top w:val="single" w:sz="4" w:space="0" w:color="000000"/>
              <w:left w:val="single" w:sz="4" w:space="0" w:color="000000"/>
              <w:bottom w:val="single" w:sz="4" w:space="0" w:color="000000"/>
              <w:right w:val="single" w:sz="4" w:space="0" w:color="000000"/>
            </w:tcBorders>
            <w:shd w:val="clear" w:color="auto" w:fill="DBEEA6"/>
          </w:tcPr>
          <w:p w14:paraId="477214F9" w14:textId="77777777" w:rsidR="00736494" w:rsidRDefault="009156A5">
            <w:pPr>
              <w:ind w:left="81"/>
            </w:pPr>
            <w:r>
              <w:rPr>
                <w:noProof/>
              </w:rPr>
              <w:lastRenderedPageBreak/>
              <mc:AlternateContent>
                <mc:Choice Requires="wpg">
                  <w:drawing>
                    <wp:inline distT="0" distB="0" distL="0" distR="0" wp14:anchorId="2DA25C6D" wp14:editId="48C08615">
                      <wp:extent cx="231391" cy="1957265"/>
                      <wp:effectExtent l="0" t="0" r="0" b="0"/>
                      <wp:docPr id="33541" name="Group 33541"/>
                      <wp:cNvGraphicFramePr/>
                      <a:graphic xmlns:a="http://schemas.openxmlformats.org/drawingml/2006/main">
                        <a:graphicData uri="http://schemas.microsoft.com/office/word/2010/wordprocessingGroup">
                          <wpg:wgp>
                            <wpg:cNvGrpSpPr/>
                            <wpg:grpSpPr>
                              <a:xfrm>
                                <a:off x="0" y="0"/>
                                <a:ext cx="231391" cy="1957265"/>
                                <a:chOff x="0" y="0"/>
                                <a:chExt cx="231391" cy="1957265"/>
                              </a:xfrm>
                            </wpg:grpSpPr>
                            <wps:wsp>
                              <wps:cNvPr id="3375" name="Rectangle 3375"/>
                              <wps:cNvSpPr/>
                              <wps:spPr>
                                <a:xfrm rot="-5399999">
                                  <a:off x="-420756" y="1228758"/>
                                  <a:ext cx="1149264" cy="307749"/>
                                </a:xfrm>
                                <a:prstGeom prst="rect">
                                  <a:avLst/>
                                </a:prstGeom>
                                <a:ln>
                                  <a:noFill/>
                                </a:ln>
                              </wps:spPr>
                              <wps:txbx>
                                <w:txbxContent>
                                  <w:p w14:paraId="6ADCBB43" w14:textId="77777777" w:rsidR="00736494" w:rsidRDefault="009156A5">
                                    <w:r>
                                      <w:rPr>
                                        <w:rFonts w:ascii="Corbel" w:eastAsia="Corbel" w:hAnsi="Corbel" w:cs="Corbel"/>
                                        <w:b/>
                                        <w:color w:val="363636"/>
                                        <w:sz w:val="36"/>
                                      </w:rPr>
                                      <w:t>Optional</w:t>
                                    </w:r>
                                  </w:p>
                                </w:txbxContent>
                              </wps:txbx>
                              <wps:bodyPr horzOverflow="overflow" vert="horz" lIns="0" tIns="0" rIns="0" bIns="0" rtlCol="0">
                                <a:noAutofit/>
                              </wps:bodyPr>
                            </wps:wsp>
                            <wps:wsp>
                              <wps:cNvPr id="3376" name="Rectangle 3376"/>
                              <wps:cNvSpPr/>
                              <wps:spPr>
                                <a:xfrm rot="-5399999">
                                  <a:off x="122559" y="907712"/>
                                  <a:ext cx="62632" cy="307749"/>
                                </a:xfrm>
                                <a:prstGeom prst="rect">
                                  <a:avLst/>
                                </a:prstGeom>
                                <a:ln>
                                  <a:noFill/>
                                </a:ln>
                              </wps:spPr>
                              <wps:txbx>
                                <w:txbxContent>
                                  <w:p w14:paraId="3C5DA914"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s:wsp>
                              <wps:cNvPr id="3377" name="Rectangle 3377"/>
                              <wps:cNvSpPr/>
                              <wps:spPr>
                                <a:xfrm rot="-5399999">
                                  <a:off x="-523065" y="214843"/>
                                  <a:ext cx="1353881" cy="307749"/>
                                </a:xfrm>
                                <a:prstGeom prst="rect">
                                  <a:avLst/>
                                </a:prstGeom>
                                <a:ln>
                                  <a:noFill/>
                                </a:ln>
                              </wps:spPr>
                              <wps:txbx>
                                <w:txbxContent>
                                  <w:p w14:paraId="6D0C7B55" w14:textId="77777777" w:rsidR="00736494" w:rsidRDefault="009156A5">
                                    <w:r>
                                      <w:rPr>
                                        <w:rFonts w:ascii="Corbel" w:eastAsia="Corbel" w:hAnsi="Corbel" w:cs="Corbel"/>
                                        <w:b/>
                                        <w:color w:val="363636"/>
                                        <w:sz w:val="36"/>
                                      </w:rPr>
                                      <w:t>Provisions</w:t>
                                    </w:r>
                                  </w:p>
                                </w:txbxContent>
                              </wps:txbx>
                              <wps:bodyPr horzOverflow="overflow" vert="horz" lIns="0" tIns="0" rIns="0" bIns="0" rtlCol="0">
                                <a:noAutofit/>
                              </wps:bodyPr>
                            </wps:wsp>
                            <wps:wsp>
                              <wps:cNvPr id="3378" name="Rectangle 3378"/>
                              <wps:cNvSpPr/>
                              <wps:spPr>
                                <a:xfrm rot="-5399999">
                                  <a:off x="142167" y="-81017"/>
                                  <a:ext cx="36744" cy="180546"/>
                                </a:xfrm>
                                <a:prstGeom prst="rect">
                                  <a:avLst/>
                                </a:prstGeom>
                                <a:ln>
                                  <a:noFill/>
                                </a:ln>
                              </wps:spPr>
                              <wps:txbx>
                                <w:txbxContent>
                                  <w:p w14:paraId="5B9B26D9" w14:textId="77777777" w:rsidR="00736494" w:rsidRDefault="009156A5">
                                    <w:r>
                                      <w:rPr>
                                        <w:rFonts w:ascii="Corbel" w:eastAsia="Corbel" w:hAnsi="Corbel" w:cs="Corbel"/>
                                        <w:b/>
                                        <w:color w:val="363636"/>
                                        <w:sz w:val="2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541" style="width:18.2197pt;height:154.115pt;mso-position-horizontal-relative:char;mso-position-vertical-relative:line" coordsize="2313,19572">
                      <v:rect id="Rectangle 3375" style="position:absolute;width:11492;height:3077;left:-4207;top:12287;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Optional</w:t>
                              </w:r>
                            </w:p>
                          </w:txbxContent>
                        </v:textbox>
                      </v:rect>
                      <v:rect id="Rectangle 3376" style="position:absolute;width:626;height:3077;left:1225;top:9077;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rect id="Rectangle 3377" style="position:absolute;width:13538;height:3077;left:-5230;top:2148;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Provisions</w:t>
                              </w:r>
                            </w:p>
                          </w:txbxContent>
                        </v:textbox>
                      </v:rect>
                      <v:rect id="Rectangle 3378" style="position:absolute;width:367;height:1805;left:1421;top:-81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21"/>
                                </w:rPr>
                                <w:t xml:space="preserve"> </w:t>
                              </w:r>
                            </w:p>
                          </w:txbxContent>
                        </v:textbox>
                      </v:rect>
                    </v:group>
                  </w:pict>
                </mc:Fallback>
              </mc:AlternateContent>
            </w:r>
          </w:p>
        </w:tc>
        <w:tc>
          <w:tcPr>
            <w:tcW w:w="2105" w:type="dxa"/>
            <w:tcBorders>
              <w:top w:val="single" w:sz="4" w:space="0" w:color="000000"/>
              <w:left w:val="single" w:sz="4" w:space="0" w:color="000000"/>
              <w:bottom w:val="single" w:sz="4" w:space="0" w:color="000000"/>
              <w:right w:val="single" w:sz="4" w:space="0" w:color="000000"/>
            </w:tcBorders>
          </w:tcPr>
          <w:p w14:paraId="7E9B7470" w14:textId="77777777" w:rsidR="00736494" w:rsidRDefault="009156A5">
            <w:pPr>
              <w:ind w:left="7"/>
              <w:jc w:val="center"/>
            </w:pPr>
            <w:r>
              <w:rPr>
                <w:rFonts w:ascii="Corbel" w:eastAsia="Corbel" w:hAnsi="Corbel" w:cs="Corbel"/>
                <w:b/>
                <w:color w:val="363636"/>
                <w:sz w:val="28"/>
              </w:rPr>
              <w:t xml:space="preserve"> </w:t>
            </w:r>
          </w:p>
          <w:p w14:paraId="2CCEE0AE" w14:textId="77777777" w:rsidR="00736494" w:rsidRDefault="009156A5">
            <w:pPr>
              <w:ind w:right="49"/>
              <w:jc w:val="center"/>
            </w:pPr>
            <w:r>
              <w:rPr>
                <w:rFonts w:ascii="Corbel" w:eastAsia="Corbel" w:hAnsi="Corbel" w:cs="Corbel"/>
                <w:b/>
                <w:color w:val="363636"/>
                <w:sz w:val="28"/>
              </w:rPr>
              <w:t xml:space="preserve">APFO &amp; </w:t>
            </w:r>
          </w:p>
          <w:p w14:paraId="178E2D95" w14:textId="77777777" w:rsidR="00736494" w:rsidRDefault="009156A5">
            <w:pPr>
              <w:ind w:right="48"/>
              <w:jc w:val="center"/>
            </w:pPr>
            <w:r>
              <w:rPr>
                <w:rFonts w:ascii="Corbel" w:eastAsia="Corbel" w:hAnsi="Corbel" w:cs="Corbel"/>
                <w:b/>
                <w:color w:val="363636"/>
                <w:sz w:val="28"/>
              </w:rPr>
              <w:t xml:space="preserve">Impact Fees </w:t>
            </w:r>
          </w:p>
        </w:tc>
        <w:tc>
          <w:tcPr>
            <w:tcW w:w="6759" w:type="dxa"/>
            <w:tcBorders>
              <w:top w:val="single" w:sz="4" w:space="0" w:color="000000"/>
              <w:left w:val="single" w:sz="4" w:space="0" w:color="000000"/>
              <w:bottom w:val="single" w:sz="4" w:space="0" w:color="000000"/>
              <w:right w:val="single" w:sz="4" w:space="0" w:color="000000"/>
            </w:tcBorders>
          </w:tcPr>
          <w:p w14:paraId="447773B6" w14:textId="77777777" w:rsidR="00736494" w:rsidRDefault="009156A5">
            <w:pPr>
              <w:spacing w:after="125"/>
            </w:pPr>
            <w:r>
              <w:rPr>
                <w:rFonts w:ascii="Corbel" w:eastAsia="Corbel" w:hAnsi="Corbel" w:cs="Corbel"/>
                <w:b/>
                <w:color w:val="363636"/>
                <w:sz w:val="21"/>
              </w:rPr>
              <w:t xml:space="preserve">Options: </w:t>
            </w:r>
          </w:p>
          <w:p w14:paraId="359EEB01" w14:textId="77777777" w:rsidR="00736494" w:rsidRDefault="009156A5">
            <w:pPr>
              <w:ind w:left="300"/>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00B050"/>
                <w:sz w:val="32"/>
              </w:rPr>
              <w:t xml:space="preserve"> </w:t>
            </w:r>
            <w:r>
              <w:rPr>
                <w:rFonts w:ascii="Corbel" w:eastAsia="Corbel" w:hAnsi="Corbel" w:cs="Corbel"/>
                <w:b/>
                <w:color w:val="363636"/>
                <w:sz w:val="21"/>
              </w:rPr>
              <w:t>An ADU does not have to comply with the APFO Ordinance</w:t>
            </w:r>
            <w:r>
              <w:rPr>
                <w:rFonts w:ascii="Corbel" w:eastAsia="Corbel" w:hAnsi="Corbel" w:cs="Corbel"/>
                <w:color w:val="363636"/>
                <w:sz w:val="21"/>
              </w:rPr>
              <w:t xml:space="preserve"> </w:t>
            </w:r>
          </w:p>
          <w:p w14:paraId="2CAA4FB2" w14:textId="77777777" w:rsidR="00736494" w:rsidRDefault="009156A5">
            <w:pPr>
              <w:spacing w:after="1" w:line="238" w:lineRule="auto"/>
              <w:ind w:left="720" w:hanging="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An ADU must comply with APFO requirements that are proportionate to the size of the ADU relative to the size of the primary dwelling unit.  </w:t>
            </w:r>
            <w:r>
              <w:rPr>
                <w:rFonts w:ascii="Corbel" w:eastAsia="Corbel" w:hAnsi="Corbel" w:cs="Corbel"/>
                <w:color w:val="363636"/>
                <w:sz w:val="21"/>
              </w:rPr>
              <w:t xml:space="preserve">(For example, if an ADU has 500 sq. ft, and the primary unit has 2,000 sq. ft., the APFO requirements will be </w:t>
            </w:r>
          </w:p>
          <w:p w14:paraId="1CC01A56" w14:textId="77777777" w:rsidR="00736494" w:rsidRDefault="009156A5">
            <w:pPr>
              <w:ind w:left="720"/>
            </w:pPr>
            <w:r>
              <w:rPr>
                <w:rFonts w:ascii="Corbel" w:eastAsia="Corbel" w:hAnsi="Corbel" w:cs="Corbel"/>
                <w:color w:val="363636"/>
                <w:sz w:val="21"/>
              </w:rPr>
              <w:t>25% of what is required for the primary dwelling unit)</w:t>
            </w:r>
            <w:r>
              <w:rPr>
                <w:rFonts w:ascii="Corbel" w:eastAsia="Corbel" w:hAnsi="Corbel" w:cs="Corbel"/>
                <w:b/>
                <w:color w:val="363636"/>
                <w:sz w:val="21"/>
              </w:rPr>
              <w:t xml:space="preserve"> </w:t>
            </w:r>
          </w:p>
          <w:p w14:paraId="10BF1157" w14:textId="77777777" w:rsidR="00736494" w:rsidRDefault="009156A5">
            <w:pPr>
              <w:spacing w:after="76" w:line="242" w:lineRule="auto"/>
              <w:ind w:left="720" w:hanging="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An ADU must meet APFO requirements if constructed at the same time as the primary unit. </w:t>
            </w:r>
          </w:p>
          <w:p w14:paraId="0D08DDA6" w14:textId="77777777" w:rsidR="00736494" w:rsidRDefault="009156A5">
            <w:pPr>
              <w:spacing w:line="238" w:lineRule="auto"/>
              <w:ind w:right="16"/>
            </w:pPr>
            <w:r>
              <w:rPr>
                <w:rFonts w:ascii="Corbel" w:eastAsia="Corbel" w:hAnsi="Corbel" w:cs="Corbel"/>
                <w:i/>
                <w:color w:val="363636"/>
                <w:sz w:val="21"/>
              </w:rPr>
              <w:t>Comment</w:t>
            </w:r>
            <w:r>
              <w:rPr>
                <w:rFonts w:ascii="Corbel" w:eastAsia="Corbel" w:hAnsi="Corbel" w:cs="Corbel"/>
                <w:color w:val="363636"/>
                <w:sz w:val="21"/>
              </w:rPr>
              <w:t xml:space="preserve">:  It is important to keep in mind that ADU’s will only be constructed on a small percentage of lots.  In Portland, Oregon where ADU’s have been permitted since 1981, only 2% of residential lots have an </w:t>
            </w:r>
          </w:p>
          <w:p w14:paraId="282BCEC5" w14:textId="77777777" w:rsidR="00736494" w:rsidRDefault="009156A5">
            <w:pPr>
              <w:spacing w:line="247" w:lineRule="auto"/>
            </w:pPr>
            <w:proofErr w:type="spellStart"/>
            <w:r>
              <w:rPr>
                <w:rFonts w:ascii="Corbel" w:eastAsia="Corbel" w:hAnsi="Corbel" w:cs="Corbel"/>
                <w:color w:val="363636"/>
                <w:sz w:val="21"/>
              </w:rPr>
              <w:t>ADU.</w:t>
            </w:r>
            <w:r>
              <w:rPr>
                <w:rFonts w:ascii="Corbel" w:eastAsia="Corbel" w:hAnsi="Corbel" w:cs="Corbel"/>
                <w:color w:val="363636"/>
                <w:sz w:val="21"/>
                <w:vertAlign w:val="superscript"/>
              </w:rPr>
              <w:t>ii</w:t>
            </w:r>
            <w:proofErr w:type="spellEnd"/>
            <w:r>
              <w:rPr>
                <w:rFonts w:ascii="Corbel" w:eastAsia="Corbel" w:hAnsi="Corbel" w:cs="Corbel"/>
                <w:color w:val="363636"/>
                <w:sz w:val="21"/>
              </w:rPr>
              <w:t xml:space="preserve">  Where ADU’s are permitted, it is reported that additional impacts of ADU’s on public facilities have been minimal to non-existent.  For example in Montgomery County, where ADU’s have been permitted since 2014, they have experienced no noticeable impact from ADU’s on school </w:t>
            </w:r>
            <w:proofErr w:type="spellStart"/>
            <w:r>
              <w:rPr>
                <w:rFonts w:ascii="Corbel" w:eastAsia="Corbel" w:hAnsi="Corbel" w:cs="Corbel"/>
                <w:color w:val="363636"/>
                <w:sz w:val="21"/>
              </w:rPr>
              <w:t>capacity.</w:t>
            </w:r>
            <w:r>
              <w:rPr>
                <w:rFonts w:ascii="Corbel" w:eastAsia="Corbel" w:hAnsi="Corbel" w:cs="Corbel"/>
                <w:color w:val="363636"/>
                <w:sz w:val="21"/>
                <w:vertAlign w:val="superscript"/>
              </w:rPr>
              <w:t>iii</w:t>
            </w:r>
            <w:proofErr w:type="spellEnd"/>
            <w:r>
              <w:rPr>
                <w:rFonts w:ascii="Corbel" w:eastAsia="Corbel" w:hAnsi="Corbel" w:cs="Corbel"/>
                <w:color w:val="363636"/>
                <w:sz w:val="21"/>
              </w:rPr>
              <w:t xml:space="preserve">  Alternatively, the AARP Model State Act and Local Ordinance recommends </w:t>
            </w:r>
          </w:p>
          <w:p w14:paraId="33A82E83" w14:textId="77777777" w:rsidR="00736494" w:rsidRDefault="009156A5">
            <w:r>
              <w:rPr>
                <w:rFonts w:ascii="Corbel" w:eastAsia="Corbel" w:hAnsi="Corbel" w:cs="Corbel"/>
                <w:color w:val="363636"/>
                <w:sz w:val="21"/>
              </w:rPr>
              <w:t xml:space="preserve">impact fees be waived for units less than 750 sq. ft., and charged proportionate to the size of the primary unit for ADUs over 750 sq. </w:t>
            </w:r>
            <w:proofErr w:type="spellStart"/>
            <w:r>
              <w:rPr>
                <w:rFonts w:ascii="Corbel" w:eastAsia="Corbel" w:hAnsi="Corbel" w:cs="Corbel"/>
                <w:color w:val="363636"/>
                <w:sz w:val="21"/>
              </w:rPr>
              <w:t>ft.</w:t>
            </w:r>
            <w:r>
              <w:rPr>
                <w:rFonts w:ascii="Corbel" w:eastAsia="Corbel" w:hAnsi="Corbel" w:cs="Corbel"/>
                <w:color w:val="363636"/>
                <w:sz w:val="21"/>
                <w:vertAlign w:val="superscript"/>
              </w:rPr>
              <w:t>iv</w:t>
            </w:r>
            <w:proofErr w:type="spellEnd"/>
            <w:r>
              <w:rPr>
                <w:rFonts w:ascii="Corbel" w:eastAsia="Corbel" w:hAnsi="Corbel" w:cs="Corbel"/>
                <w:color w:val="363636"/>
                <w:sz w:val="21"/>
              </w:rPr>
              <w:t xml:space="preserve">  Recognizing that ADU’s have a very small overall impact on public facilities, Anne Arundel County eliminated APFO requirements for ADU’s in 2023 per House Bill 6-23. </w:t>
            </w:r>
          </w:p>
        </w:tc>
      </w:tr>
      <w:tr w:rsidR="00736494" w14:paraId="673DBAF7" w14:textId="77777777">
        <w:trPr>
          <w:trHeight w:val="759"/>
        </w:trPr>
        <w:tc>
          <w:tcPr>
            <w:tcW w:w="0" w:type="auto"/>
            <w:vMerge/>
            <w:tcBorders>
              <w:top w:val="nil"/>
              <w:left w:val="single" w:sz="4" w:space="0" w:color="000000"/>
              <w:bottom w:val="nil"/>
              <w:right w:val="single" w:sz="4" w:space="0" w:color="000000"/>
            </w:tcBorders>
          </w:tcPr>
          <w:p w14:paraId="539E3597" w14:textId="77777777" w:rsidR="00736494" w:rsidRDefault="00736494"/>
        </w:tc>
        <w:tc>
          <w:tcPr>
            <w:tcW w:w="2105" w:type="dxa"/>
            <w:tcBorders>
              <w:top w:val="single" w:sz="4" w:space="0" w:color="000000"/>
              <w:left w:val="single" w:sz="4" w:space="0" w:color="000000"/>
              <w:bottom w:val="single" w:sz="4" w:space="0" w:color="000000"/>
              <w:right w:val="single" w:sz="4" w:space="0" w:color="000000"/>
            </w:tcBorders>
            <w:vAlign w:val="center"/>
          </w:tcPr>
          <w:p w14:paraId="777AB3F9" w14:textId="77777777" w:rsidR="00736494" w:rsidRDefault="009156A5">
            <w:pPr>
              <w:ind w:left="10"/>
              <w:jc w:val="both"/>
            </w:pPr>
            <w:r>
              <w:rPr>
                <w:rFonts w:ascii="Corbel" w:eastAsia="Corbel" w:hAnsi="Corbel" w:cs="Corbel"/>
                <w:b/>
                <w:color w:val="363636"/>
                <w:sz w:val="28"/>
              </w:rPr>
              <w:t xml:space="preserve">Well and Septic </w:t>
            </w:r>
          </w:p>
        </w:tc>
        <w:tc>
          <w:tcPr>
            <w:tcW w:w="6759" w:type="dxa"/>
            <w:tcBorders>
              <w:top w:val="single" w:sz="4" w:space="0" w:color="000000"/>
              <w:left w:val="single" w:sz="4" w:space="0" w:color="000000"/>
              <w:bottom w:val="single" w:sz="4" w:space="0" w:color="000000"/>
              <w:right w:val="single" w:sz="4" w:space="0" w:color="000000"/>
            </w:tcBorders>
            <w:vAlign w:val="bottom"/>
          </w:tcPr>
          <w:p w14:paraId="39575AA8" w14:textId="77777777" w:rsidR="00736494" w:rsidRDefault="009156A5">
            <w:pPr>
              <w:ind w:left="720" w:hanging="398"/>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32"/>
                <w:vertAlign w:val="superscript"/>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An ADU may share the well and septic of the primary dwelling unit, if adequate capacity exists </w:t>
            </w:r>
          </w:p>
        </w:tc>
      </w:tr>
      <w:tr w:rsidR="00736494" w14:paraId="1D2F4A80" w14:textId="77777777">
        <w:trPr>
          <w:trHeight w:val="1606"/>
        </w:trPr>
        <w:tc>
          <w:tcPr>
            <w:tcW w:w="0" w:type="auto"/>
            <w:vMerge/>
            <w:tcBorders>
              <w:top w:val="nil"/>
              <w:left w:val="single" w:sz="4" w:space="0" w:color="000000"/>
              <w:bottom w:val="nil"/>
              <w:right w:val="single" w:sz="4" w:space="0" w:color="000000"/>
            </w:tcBorders>
          </w:tcPr>
          <w:p w14:paraId="463A9110" w14:textId="77777777" w:rsidR="00736494" w:rsidRDefault="00736494"/>
        </w:tc>
        <w:tc>
          <w:tcPr>
            <w:tcW w:w="2105" w:type="dxa"/>
            <w:tcBorders>
              <w:top w:val="single" w:sz="4" w:space="0" w:color="000000"/>
              <w:left w:val="single" w:sz="4" w:space="0" w:color="000000"/>
              <w:bottom w:val="single" w:sz="4" w:space="0" w:color="000000"/>
              <w:right w:val="single" w:sz="4" w:space="0" w:color="000000"/>
            </w:tcBorders>
          </w:tcPr>
          <w:p w14:paraId="4FDBEBE7" w14:textId="77777777" w:rsidR="00736494" w:rsidRDefault="009156A5">
            <w:pPr>
              <w:ind w:left="7"/>
              <w:jc w:val="center"/>
            </w:pPr>
            <w:r>
              <w:rPr>
                <w:rFonts w:ascii="Corbel" w:eastAsia="Corbel" w:hAnsi="Corbel" w:cs="Corbel"/>
                <w:b/>
                <w:color w:val="363636"/>
                <w:sz w:val="28"/>
              </w:rPr>
              <w:t xml:space="preserve"> </w:t>
            </w:r>
          </w:p>
          <w:p w14:paraId="42F5D5A2" w14:textId="77777777" w:rsidR="00736494" w:rsidRDefault="009156A5">
            <w:pPr>
              <w:jc w:val="center"/>
            </w:pPr>
            <w:r>
              <w:rPr>
                <w:rFonts w:ascii="Corbel" w:eastAsia="Corbel" w:hAnsi="Corbel" w:cs="Corbel"/>
                <w:b/>
                <w:color w:val="363636"/>
                <w:sz w:val="28"/>
              </w:rPr>
              <w:t xml:space="preserve">Public Water and Sewer </w:t>
            </w:r>
          </w:p>
        </w:tc>
        <w:tc>
          <w:tcPr>
            <w:tcW w:w="6759" w:type="dxa"/>
            <w:tcBorders>
              <w:top w:val="single" w:sz="4" w:space="0" w:color="000000"/>
              <w:left w:val="single" w:sz="4" w:space="0" w:color="000000"/>
              <w:bottom w:val="single" w:sz="4" w:space="0" w:color="000000"/>
              <w:right w:val="single" w:sz="4" w:space="0" w:color="000000"/>
            </w:tcBorders>
            <w:vAlign w:val="bottom"/>
          </w:tcPr>
          <w:p w14:paraId="6C118416" w14:textId="77777777" w:rsidR="00736494" w:rsidRDefault="009156A5">
            <w:pPr>
              <w:spacing w:after="13" w:line="301" w:lineRule="auto"/>
              <w:ind w:left="720" w:hanging="398"/>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32"/>
                <w:vertAlign w:val="superscript"/>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An Attached or Internal ADU must be serviced by the same public water and sewer lines as the principal dwelling unit. </w:t>
            </w:r>
          </w:p>
          <w:p w14:paraId="770530D5" w14:textId="77777777" w:rsidR="00736494" w:rsidRDefault="009156A5">
            <w:r>
              <w:rPr>
                <w:rFonts w:ascii="Corbel" w:eastAsia="Corbel" w:hAnsi="Corbel" w:cs="Corbel"/>
                <w:b/>
                <w:color w:val="363636"/>
                <w:sz w:val="21"/>
              </w:rPr>
              <w:t xml:space="preserve">A Detached ADU may be serviced by the same public water and sewer lines as the principal dwelling unit where feasible, subject to approval by the local water or sewer authority. </w:t>
            </w:r>
          </w:p>
        </w:tc>
      </w:tr>
      <w:tr w:rsidR="00736494" w14:paraId="09D364B6" w14:textId="77777777">
        <w:trPr>
          <w:trHeight w:val="2991"/>
        </w:trPr>
        <w:tc>
          <w:tcPr>
            <w:tcW w:w="0" w:type="auto"/>
            <w:vMerge/>
            <w:tcBorders>
              <w:top w:val="nil"/>
              <w:left w:val="single" w:sz="4" w:space="0" w:color="000000"/>
              <w:bottom w:val="single" w:sz="4" w:space="0" w:color="000000"/>
              <w:right w:val="single" w:sz="4" w:space="0" w:color="000000"/>
            </w:tcBorders>
          </w:tcPr>
          <w:p w14:paraId="3A49D25D" w14:textId="77777777" w:rsidR="00736494" w:rsidRDefault="00736494"/>
        </w:tc>
        <w:tc>
          <w:tcPr>
            <w:tcW w:w="2105" w:type="dxa"/>
            <w:tcBorders>
              <w:top w:val="single" w:sz="4" w:space="0" w:color="000000"/>
              <w:left w:val="single" w:sz="4" w:space="0" w:color="000000"/>
              <w:bottom w:val="single" w:sz="4" w:space="0" w:color="000000"/>
              <w:right w:val="single" w:sz="4" w:space="0" w:color="000000"/>
            </w:tcBorders>
          </w:tcPr>
          <w:p w14:paraId="3D1806A9" w14:textId="77777777" w:rsidR="00736494" w:rsidRDefault="009156A5">
            <w:pPr>
              <w:ind w:left="7"/>
              <w:jc w:val="center"/>
            </w:pPr>
            <w:r>
              <w:rPr>
                <w:rFonts w:ascii="Corbel" w:eastAsia="Corbel" w:hAnsi="Corbel" w:cs="Corbel"/>
                <w:b/>
                <w:color w:val="363636"/>
                <w:sz w:val="28"/>
              </w:rPr>
              <w:t xml:space="preserve"> </w:t>
            </w:r>
          </w:p>
          <w:p w14:paraId="5DC4692B" w14:textId="77777777" w:rsidR="00736494" w:rsidRDefault="009156A5">
            <w:pPr>
              <w:ind w:right="50"/>
              <w:jc w:val="center"/>
            </w:pPr>
            <w:r>
              <w:rPr>
                <w:rFonts w:ascii="Corbel" w:eastAsia="Corbel" w:hAnsi="Corbel" w:cs="Corbel"/>
                <w:b/>
                <w:color w:val="363636"/>
                <w:sz w:val="28"/>
              </w:rPr>
              <w:t xml:space="preserve">Short-Term </w:t>
            </w:r>
          </w:p>
          <w:p w14:paraId="5303866A" w14:textId="77777777" w:rsidR="00736494" w:rsidRDefault="009156A5">
            <w:pPr>
              <w:ind w:right="48"/>
              <w:jc w:val="center"/>
            </w:pPr>
            <w:r>
              <w:rPr>
                <w:rFonts w:ascii="Corbel" w:eastAsia="Corbel" w:hAnsi="Corbel" w:cs="Corbel"/>
                <w:b/>
                <w:color w:val="363636"/>
                <w:sz w:val="28"/>
              </w:rPr>
              <w:t xml:space="preserve">Rentals </w:t>
            </w:r>
          </w:p>
          <w:p w14:paraId="49486AA5" w14:textId="77777777" w:rsidR="00736494" w:rsidRDefault="009156A5">
            <w:pPr>
              <w:spacing w:line="241" w:lineRule="auto"/>
              <w:jc w:val="center"/>
            </w:pPr>
            <w:r>
              <w:rPr>
                <w:rFonts w:ascii="Corbel" w:eastAsia="Corbel" w:hAnsi="Corbel" w:cs="Corbel"/>
                <w:i/>
                <w:color w:val="363636"/>
                <w:sz w:val="28"/>
              </w:rPr>
              <w:t xml:space="preserve">(rented for periods </w:t>
            </w:r>
          </w:p>
          <w:p w14:paraId="7A30297C" w14:textId="77777777" w:rsidR="00736494" w:rsidRDefault="009156A5">
            <w:pPr>
              <w:ind w:right="52"/>
              <w:jc w:val="center"/>
            </w:pPr>
            <w:r>
              <w:rPr>
                <w:rFonts w:ascii="Corbel" w:eastAsia="Corbel" w:hAnsi="Corbel" w:cs="Corbel"/>
                <w:i/>
                <w:color w:val="363636"/>
                <w:sz w:val="28"/>
              </w:rPr>
              <w:t>&lt; 30 days)</w:t>
            </w:r>
            <w:r>
              <w:rPr>
                <w:rFonts w:ascii="Corbel" w:eastAsia="Corbel" w:hAnsi="Corbel" w:cs="Corbel"/>
                <w:b/>
                <w:color w:val="363636"/>
                <w:sz w:val="28"/>
              </w:rPr>
              <w:t xml:space="preserve"> </w:t>
            </w:r>
          </w:p>
        </w:tc>
        <w:tc>
          <w:tcPr>
            <w:tcW w:w="6759" w:type="dxa"/>
            <w:tcBorders>
              <w:top w:val="single" w:sz="4" w:space="0" w:color="000000"/>
              <w:left w:val="single" w:sz="4" w:space="0" w:color="000000"/>
              <w:bottom w:val="single" w:sz="4" w:space="0" w:color="000000"/>
              <w:right w:val="single" w:sz="4" w:space="0" w:color="000000"/>
            </w:tcBorders>
            <w:vAlign w:val="bottom"/>
          </w:tcPr>
          <w:p w14:paraId="24B46951" w14:textId="77777777" w:rsidR="00736494" w:rsidRDefault="009156A5">
            <w:pPr>
              <w:spacing w:after="132"/>
            </w:pPr>
            <w:r>
              <w:rPr>
                <w:rFonts w:ascii="Corbel" w:eastAsia="Corbel" w:hAnsi="Corbel" w:cs="Corbel"/>
                <w:b/>
                <w:color w:val="363636"/>
                <w:sz w:val="21"/>
              </w:rPr>
              <w:t xml:space="preserve">Options: </w:t>
            </w:r>
          </w:p>
          <w:p w14:paraId="3839183A" w14:textId="77777777" w:rsidR="00736494" w:rsidRDefault="009156A5">
            <w:pPr>
              <w:ind w:left="319"/>
            </w:pPr>
            <w:r>
              <w:rPr>
                <w:rFonts w:ascii="Segoe UI Symbol" w:eastAsia="Segoe UI Symbol" w:hAnsi="Segoe UI Symbol" w:cs="Segoe UI Symbol"/>
                <w:color w:val="00B050"/>
                <w:sz w:val="32"/>
              </w:rPr>
              <w:t>✓</w:t>
            </w: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00B050"/>
                <w:sz w:val="32"/>
              </w:rPr>
              <w:t xml:space="preserve"> </w:t>
            </w:r>
            <w:r>
              <w:rPr>
                <w:rFonts w:ascii="Corbel" w:eastAsia="Corbel" w:hAnsi="Corbel" w:cs="Corbel"/>
                <w:b/>
                <w:color w:val="363636"/>
                <w:sz w:val="21"/>
              </w:rPr>
              <w:t xml:space="preserve">No short-term rental restrictions </w:t>
            </w:r>
          </w:p>
          <w:p w14:paraId="01632DB5" w14:textId="77777777" w:rsidR="00736494" w:rsidRDefault="009156A5">
            <w:pPr>
              <w:ind w:left="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 xml:space="preserve">An ADU may not be used as a Short-Term Rental  </w:t>
            </w:r>
          </w:p>
          <w:p w14:paraId="54DD3AEA" w14:textId="77777777" w:rsidR="00736494" w:rsidRDefault="009156A5">
            <w:pPr>
              <w:spacing w:after="77" w:line="242" w:lineRule="auto"/>
              <w:ind w:left="720" w:hanging="360"/>
            </w:pPr>
            <w:r>
              <w:rPr>
                <w:rFonts w:ascii="Segoe UI Symbol" w:eastAsia="Segoe UI Symbol" w:hAnsi="Segoe UI Symbol" w:cs="Segoe UI Symbol"/>
                <w:color w:val="363636"/>
                <w:sz w:val="21"/>
              </w:rPr>
              <w:t></w:t>
            </w:r>
            <w:r>
              <w:rPr>
                <w:rFonts w:ascii="Arial" w:eastAsia="Arial" w:hAnsi="Arial" w:cs="Arial"/>
                <w:color w:val="363636"/>
                <w:sz w:val="21"/>
              </w:rPr>
              <w:t xml:space="preserve"> </w:t>
            </w:r>
            <w:r>
              <w:rPr>
                <w:rFonts w:ascii="Corbel" w:eastAsia="Corbel" w:hAnsi="Corbel" w:cs="Corbel"/>
                <w:b/>
                <w:color w:val="363636"/>
                <w:sz w:val="21"/>
              </w:rPr>
              <w:t>An ADU may only be used as a Short Term Rental if either the primary dwelling unit or the ADU is owner-occupied</w:t>
            </w:r>
            <w:r>
              <w:rPr>
                <w:rFonts w:ascii="Corbel" w:eastAsia="Corbel" w:hAnsi="Corbel" w:cs="Corbel"/>
                <w:color w:val="363636"/>
                <w:sz w:val="21"/>
              </w:rPr>
              <w:t xml:space="preserve"> </w:t>
            </w:r>
          </w:p>
          <w:p w14:paraId="462A0BC2" w14:textId="77777777" w:rsidR="00736494" w:rsidRDefault="009156A5">
            <w:r>
              <w:rPr>
                <w:rFonts w:ascii="Corbel" w:eastAsia="Corbel" w:hAnsi="Corbel" w:cs="Corbel"/>
                <w:i/>
                <w:color w:val="363636"/>
                <w:sz w:val="21"/>
              </w:rPr>
              <w:t>Comment</w:t>
            </w:r>
            <w:r>
              <w:rPr>
                <w:rFonts w:ascii="Corbel" w:eastAsia="Corbel" w:hAnsi="Corbel" w:cs="Corbel"/>
                <w:color w:val="363636"/>
                <w:sz w:val="21"/>
              </w:rPr>
              <w:t xml:space="preserve">:  Recommend allowing ADU’s to be used for short-term rentals, </w:t>
            </w:r>
          </w:p>
          <w:p w14:paraId="5611F43B" w14:textId="77777777" w:rsidR="00736494" w:rsidRDefault="009156A5">
            <w:pPr>
              <w:ind w:right="29"/>
            </w:pPr>
            <w:r>
              <w:rPr>
                <w:rFonts w:ascii="Corbel" w:eastAsia="Corbel" w:hAnsi="Corbel" w:cs="Corbel"/>
                <w:color w:val="363636"/>
                <w:sz w:val="21"/>
              </w:rPr>
              <w:t xml:space="preserve">particularly in tourist areas, and to help homeowners by providing supplementary income.  However, if a jurisdiction is concerned about property maintenance, noise, or inadequate parking, it may want to prohibit use of ADU’s for short term rentals. </w:t>
            </w:r>
          </w:p>
        </w:tc>
      </w:tr>
    </w:tbl>
    <w:p w14:paraId="0DCB5577" w14:textId="77777777" w:rsidR="00736494" w:rsidRDefault="009156A5">
      <w:pPr>
        <w:spacing w:after="0"/>
        <w:jc w:val="both"/>
      </w:pPr>
      <w:r>
        <w:rPr>
          <w:rFonts w:ascii="Corbel" w:eastAsia="Corbel" w:hAnsi="Corbel" w:cs="Corbel"/>
          <w:sz w:val="21"/>
        </w:rPr>
        <w:t xml:space="preserve"> </w:t>
      </w:r>
    </w:p>
    <w:p w14:paraId="4C9A6450" w14:textId="77777777" w:rsidR="00736494" w:rsidRDefault="009156A5">
      <w:pPr>
        <w:pStyle w:val="Heading1"/>
        <w:ind w:left="-5"/>
      </w:pPr>
      <w:bookmarkStart w:id="4" w:name="_Toc37494"/>
      <w:r>
        <w:t xml:space="preserve">Examples of Existing ADU Ordinances in Maryland </w:t>
      </w:r>
      <w:bookmarkEnd w:id="4"/>
    </w:p>
    <w:p w14:paraId="5A071FBC" w14:textId="77777777" w:rsidR="00736494" w:rsidRDefault="009156A5">
      <w:pPr>
        <w:spacing w:after="83"/>
        <w:ind w:left="-29" w:right="-36"/>
      </w:pPr>
      <w:r>
        <w:rPr>
          <w:noProof/>
        </w:rPr>
        <mc:AlternateContent>
          <mc:Choice Requires="wpg">
            <w:drawing>
              <wp:inline distT="0" distB="0" distL="0" distR="0" wp14:anchorId="1CE4AE38" wp14:editId="0BFC64FA">
                <wp:extent cx="5981065" cy="6096"/>
                <wp:effectExtent l="0" t="0" r="0" b="0"/>
                <wp:docPr id="34680" name="Group 34680"/>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7961" name="Shape 3796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inline>
            </w:drawing>
          </mc:Choice>
          <mc:Fallback xmlns:a="http://schemas.openxmlformats.org/drawingml/2006/main">
            <w:pict>
              <v:group id="Group 34680" style="width:470.95pt;height:0.47998pt;mso-position-horizontal-relative:char;mso-position-vertical-relative:line" coordsize="59810,60">
                <v:shape id="Shape 37962" style="position:absolute;width:59810;height:91;left:0;top:0;" coordsize="5981065,9144" path="m0,0l5981065,0l5981065,9144l0,9144l0,0">
                  <v:stroke weight="0pt" endcap="flat" joinstyle="miter" miterlimit="10" on="false" color="#000000" opacity="0"/>
                  <v:fill on="true" color="#ffc000"/>
                </v:shape>
              </v:group>
            </w:pict>
          </mc:Fallback>
        </mc:AlternateContent>
      </w:r>
    </w:p>
    <w:p w14:paraId="5E5964DC" w14:textId="77777777" w:rsidR="00736494" w:rsidRDefault="009156A5">
      <w:pPr>
        <w:spacing w:after="125"/>
      </w:pPr>
      <w:r>
        <w:rPr>
          <w:rFonts w:ascii="Corbel" w:eastAsia="Corbel" w:hAnsi="Corbel" w:cs="Corbel"/>
          <w:b/>
          <w:sz w:val="21"/>
        </w:rPr>
        <w:t xml:space="preserve"> </w:t>
      </w:r>
    </w:p>
    <w:p w14:paraId="267F258A" w14:textId="77777777" w:rsidR="00736494" w:rsidRDefault="009156A5">
      <w:pPr>
        <w:spacing w:after="119" w:line="262" w:lineRule="auto"/>
      </w:pPr>
      <w:r>
        <w:rPr>
          <w:rFonts w:ascii="Corbel" w:eastAsia="Corbel" w:hAnsi="Corbel" w:cs="Corbel"/>
          <w:b/>
          <w:sz w:val="21"/>
        </w:rPr>
        <w:t>NOTE</w:t>
      </w:r>
      <w:r>
        <w:rPr>
          <w:rFonts w:ascii="Corbel" w:eastAsia="Corbel" w:hAnsi="Corbel" w:cs="Corbel"/>
          <w:sz w:val="21"/>
        </w:rPr>
        <w:t xml:space="preserve">:  These ADU Ordinance examples are provided to give local jurisdictions that have not previously allowed ADU’s a look at how other Maryland jurisdictions have regulated ADU’s in their zoning codes in the past, and the type of issues other jurisdictions have found to be relevant.  The 2025 State law took effect on October 1, 2025 and jurisdictions have until October 1, 2026 to comply with the new law.  These examples are NOT ordinances that have been drafted or revised to comply with the 2025 state law, and are for general reference only.   </w:t>
      </w:r>
    </w:p>
    <w:p w14:paraId="76CFDBE6" w14:textId="77777777" w:rsidR="00736494" w:rsidRDefault="009156A5">
      <w:pPr>
        <w:spacing w:after="0"/>
      </w:pPr>
      <w:r>
        <w:rPr>
          <w:rFonts w:ascii="Corbel" w:eastAsia="Corbel" w:hAnsi="Corbel" w:cs="Corbel"/>
          <w:sz w:val="21"/>
        </w:rPr>
        <w:t xml:space="preserve"> </w:t>
      </w:r>
    </w:p>
    <w:tbl>
      <w:tblPr>
        <w:tblStyle w:val="TableGrid"/>
        <w:tblW w:w="9536" w:type="dxa"/>
        <w:tblInd w:w="6" w:type="dxa"/>
        <w:tblCellMar>
          <w:top w:w="63" w:type="dxa"/>
          <w:left w:w="108" w:type="dxa"/>
          <w:right w:w="117" w:type="dxa"/>
        </w:tblCellMar>
        <w:tblLook w:val="04A0" w:firstRow="1" w:lastRow="0" w:firstColumn="1" w:lastColumn="0" w:noHBand="0" w:noVBand="1"/>
      </w:tblPr>
      <w:tblGrid>
        <w:gridCol w:w="672"/>
        <w:gridCol w:w="8864"/>
      </w:tblGrid>
      <w:tr w:rsidR="00736494" w14:paraId="7A4083A4" w14:textId="77777777">
        <w:trPr>
          <w:trHeight w:val="6797"/>
        </w:trPr>
        <w:tc>
          <w:tcPr>
            <w:tcW w:w="671" w:type="dxa"/>
            <w:tcBorders>
              <w:top w:val="single" w:sz="4" w:space="0" w:color="000000"/>
              <w:left w:val="single" w:sz="4" w:space="0" w:color="000000"/>
              <w:bottom w:val="single" w:sz="4" w:space="0" w:color="000000"/>
              <w:right w:val="single" w:sz="4" w:space="0" w:color="000000"/>
            </w:tcBorders>
            <w:shd w:val="clear" w:color="auto" w:fill="CCCCFF"/>
          </w:tcPr>
          <w:p w14:paraId="1F33EC4F" w14:textId="77777777" w:rsidR="00736494" w:rsidRDefault="009156A5">
            <w:pPr>
              <w:ind w:left="82"/>
            </w:pPr>
            <w:r>
              <w:rPr>
                <w:noProof/>
              </w:rPr>
              <w:lastRenderedPageBreak/>
              <mc:AlternateContent>
                <mc:Choice Requires="wpg">
                  <w:drawing>
                    <wp:inline distT="0" distB="0" distL="0" distR="0" wp14:anchorId="6CBA7AFF" wp14:editId="490D80F9">
                      <wp:extent cx="231391" cy="909930"/>
                      <wp:effectExtent l="0" t="0" r="0" b="0"/>
                      <wp:docPr id="33865" name="Group 33865"/>
                      <wp:cNvGraphicFramePr/>
                      <a:graphic xmlns:a="http://schemas.openxmlformats.org/drawingml/2006/main">
                        <a:graphicData uri="http://schemas.microsoft.com/office/word/2010/wordprocessingGroup">
                          <wpg:wgp>
                            <wpg:cNvGrpSpPr/>
                            <wpg:grpSpPr>
                              <a:xfrm>
                                <a:off x="0" y="0"/>
                                <a:ext cx="231391" cy="909930"/>
                                <a:chOff x="0" y="0"/>
                                <a:chExt cx="231391" cy="909930"/>
                              </a:xfrm>
                            </wpg:grpSpPr>
                            <wps:wsp>
                              <wps:cNvPr id="3659" name="Rectangle 3659"/>
                              <wps:cNvSpPr/>
                              <wps:spPr>
                                <a:xfrm rot="-5399999">
                                  <a:off x="-418779" y="183400"/>
                                  <a:ext cx="1145311" cy="307749"/>
                                </a:xfrm>
                                <a:prstGeom prst="rect">
                                  <a:avLst/>
                                </a:prstGeom>
                                <a:ln>
                                  <a:noFill/>
                                </a:ln>
                              </wps:spPr>
                              <wps:txbx>
                                <w:txbxContent>
                                  <w:p w14:paraId="08047934" w14:textId="77777777" w:rsidR="00736494" w:rsidRDefault="009156A5">
                                    <w:r>
                                      <w:rPr>
                                        <w:rFonts w:ascii="Corbel" w:eastAsia="Corbel" w:hAnsi="Corbel" w:cs="Corbel"/>
                                        <w:b/>
                                        <w:color w:val="363636"/>
                                        <w:sz w:val="36"/>
                                      </w:rPr>
                                      <w:t>Example</w:t>
                                    </w:r>
                                  </w:p>
                                </w:txbxContent>
                              </wps:txbx>
                              <wps:bodyPr horzOverflow="overflow" vert="horz" lIns="0" tIns="0" rIns="0" bIns="0" rtlCol="0">
                                <a:noAutofit/>
                              </wps:bodyPr>
                            </wps:wsp>
                            <wps:wsp>
                              <wps:cNvPr id="3660" name="Rectangle 3660"/>
                              <wps:cNvSpPr/>
                              <wps:spPr>
                                <a:xfrm rot="-5399999">
                                  <a:off x="122559" y="-138098"/>
                                  <a:ext cx="62632" cy="307749"/>
                                </a:xfrm>
                                <a:prstGeom prst="rect">
                                  <a:avLst/>
                                </a:prstGeom>
                                <a:ln>
                                  <a:noFill/>
                                </a:ln>
                              </wps:spPr>
                              <wps:txbx>
                                <w:txbxContent>
                                  <w:p w14:paraId="5D1E430D"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865" style="width:18.2197pt;height:71.648pt;mso-position-horizontal-relative:char;mso-position-vertical-relative:line" coordsize="2313,9099">
                      <v:rect id="Rectangle 3659" style="position:absolute;width:11453;height:3077;left:-4187;top:1834;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Example</w:t>
                              </w:r>
                            </w:p>
                          </w:txbxContent>
                        </v:textbox>
                      </v:rect>
                      <v:rect id="Rectangle 3660" style="position:absolute;width:626;height:3077;left:1225;top:-138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group>
                  </w:pict>
                </mc:Fallback>
              </mc:AlternateContent>
            </w:r>
          </w:p>
        </w:tc>
        <w:tc>
          <w:tcPr>
            <w:tcW w:w="8865" w:type="dxa"/>
            <w:tcBorders>
              <w:top w:val="single" w:sz="4" w:space="0" w:color="000000"/>
              <w:left w:val="single" w:sz="4" w:space="0" w:color="000000"/>
              <w:bottom w:val="single" w:sz="4" w:space="0" w:color="000000"/>
              <w:right w:val="single" w:sz="4" w:space="0" w:color="000000"/>
            </w:tcBorders>
          </w:tcPr>
          <w:p w14:paraId="25FD5FF4" w14:textId="77777777" w:rsidR="00736494" w:rsidRDefault="009156A5">
            <w:r>
              <w:rPr>
                <w:rFonts w:ascii="Corbel" w:eastAsia="Corbel" w:hAnsi="Corbel" w:cs="Corbel"/>
                <w:b/>
                <w:i/>
                <w:color w:val="0000FF"/>
                <w:sz w:val="28"/>
              </w:rPr>
              <w:t xml:space="preserve">ANNAPOLIS, ANNE ARUNDEL COUNTY </w:t>
            </w:r>
          </w:p>
          <w:p w14:paraId="0456D189" w14:textId="77777777" w:rsidR="00736494" w:rsidRDefault="009156A5">
            <w:r>
              <w:rPr>
                <w:rFonts w:ascii="Corbel" w:eastAsia="Corbel" w:hAnsi="Corbel" w:cs="Corbel"/>
                <w:color w:val="2C2C2C"/>
                <w:sz w:val="21"/>
              </w:rPr>
              <w:t xml:space="preserve"> </w:t>
            </w:r>
          </w:p>
          <w:p w14:paraId="11B12999" w14:textId="77777777" w:rsidR="00736494" w:rsidRDefault="009156A5">
            <w:pPr>
              <w:spacing w:after="98"/>
            </w:pPr>
            <w:r>
              <w:rPr>
                <w:rFonts w:ascii="Corbel" w:eastAsia="Corbel" w:hAnsi="Corbel" w:cs="Corbel"/>
                <w:color w:val="2C2C2C"/>
                <w:sz w:val="21"/>
              </w:rPr>
              <w:t xml:space="preserve">21.64.010 - Accessory dwellings. </w:t>
            </w:r>
          </w:p>
          <w:p w14:paraId="5495883B" w14:textId="77777777" w:rsidR="00736494" w:rsidRDefault="009156A5">
            <w:pPr>
              <w:numPr>
                <w:ilvl w:val="0"/>
                <w:numId w:val="37"/>
              </w:numPr>
              <w:spacing w:after="96"/>
              <w:ind w:left="663" w:hanging="281"/>
            </w:pPr>
            <w:r>
              <w:rPr>
                <w:rFonts w:ascii="Corbel" w:eastAsia="Corbel" w:hAnsi="Corbel" w:cs="Corbel"/>
                <w:color w:val="2C2C2C"/>
                <w:sz w:val="21"/>
              </w:rPr>
              <w:t xml:space="preserve">A maximum of one accessory dwelling unit may be established on any one lot. </w:t>
            </w:r>
          </w:p>
          <w:p w14:paraId="07981B60" w14:textId="77777777" w:rsidR="00736494" w:rsidRDefault="009156A5">
            <w:pPr>
              <w:numPr>
                <w:ilvl w:val="0"/>
                <w:numId w:val="37"/>
              </w:numPr>
              <w:spacing w:after="120" w:line="239" w:lineRule="auto"/>
              <w:ind w:left="663" w:hanging="281"/>
            </w:pPr>
            <w:r>
              <w:rPr>
                <w:rFonts w:ascii="Corbel" w:eastAsia="Corbel" w:hAnsi="Corbel" w:cs="Corbel"/>
                <w:color w:val="2C2C2C"/>
                <w:sz w:val="21"/>
              </w:rPr>
              <w:t xml:space="preserve">An accessory dwelling unit may be established within a principal structure or within an accessory structure. </w:t>
            </w:r>
          </w:p>
          <w:p w14:paraId="715EE07A" w14:textId="77777777" w:rsidR="00736494" w:rsidRDefault="009156A5">
            <w:pPr>
              <w:numPr>
                <w:ilvl w:val="0"/>
                <w:numId w:val="37"/>
              </w:numPr>
              <w:spacing w:after="98"/>
              <w:ind w:left="663" w:hanging="281"/>
            </w:pPr>
            <w:r>
              <w:rPr>
                <w:rFonts w:ascii="Corbel" w:eastAsia="Corbel" w:hAnsi="Corbel" w:cs="Corbel"/>
                <w:color w:val="2C2C2C"/>
                <w:sz w:val="21"/>
              </w:rPr>
              <w:t xml:space="preserve">Each accessory dwelling unit shall have its own separate ingress and egress. </w:t>
            </w:r>
          </w:p>
          <w:p w14:paraId="5FD6A7C6" w14:textId="77777777" w:rsidR="00736494" w:rsidRDefault="009156A5">
            <w:pPr>
              <w:numPr>
                <w:ilvl w:val="0"/>
                <w:numId w:val="37"/>
              </w:numPr>
              <w:spacing w:after="118" w:line="239" w:lineRule="auto"/>
              <w:ind w:left="663" w:hanging="281"/>
            </w:pPr>
            <w:r>
              <w:rPr>
                <w:rFonts w:ascii="Corbel" w:eastAsia="Corbel" w:hAnsi="Corbel" w:cs="Corbel"/>
                <w:color w:val="2C2C2C"/>
                <w:sz w:val="21"/>
              </w:rPr>
              <w:t xml:space="preserve">The addition of an impervious surface shall not be allowed on any lot containing an accessory dwelling unit, unless: </w:t>
            </w:r>
          </w:p>
          <w:p w14:paraId="48EF2FB8" w14:textId="77777777" w:rsidR="00736494" w:rsidRDefault="009156A5">
            <w:pPr>
              <w:numPr>
                <w:ilvl w:val="1"/>
                <w:numId w:val="37"/>
              </w:numPr>
              <w:spacing w:after="120" w:line="239" w:lineRule="auto"/>
              <w:ind w:hanging="247"/>
            </w:pPr>
            <w:r>
              <w:rPr>
                <w:rFonts w:ascii="Corbel" w:eastAsia="Corbel" w:hAnsi="Corbel" w:cs="Corbel"/>
                <w:color w:val="2C2C2C"/>
                <w:sz w:val="21"/>
              </w:rPr>
              <w:t xml:space="preserve">The Department has determined that the proposed surface will be treated or managed; or </w:t>
            </w:r>
          </w:p>
          <w:p w14:paraId="1B06890D" w14:textId="77777777" w:rsidR="00736494" w:rsidRDefault="009156A5">
            <w:pPr>
              <w:numPr>
                <w:ilvl w:val="1"/>
                <w:numId w:val="37"/>
              </w:numPr>
              <w:spacing w:after="120" w:line="239" w:lineRule="auto"/>
              <w:ind w:hanging="247"/>
            </w:pPr>
            <w:r>
              <w:rPr>
                <w:rFonts w:ascii="Corbel" w:eastAsia="Corbel" w:hAnsi="Corbel" w:cs="Corbel"/>
                <w:color w:val="2C2C2C"/>
                <w:sz w:val="21"/>
              </w:rPr>
              <w:t xml:space="preserve">The equivalent coverage of impervious surface will be removed elsewhere on the property. </w:t>
            </w:r>
          </w:p>
          <w:p w14:paraId="64C47E14" w14:textId="77777777" w:rsidR="00736494" w:rsidRDefault="009156A5">
            <w:pPr>
              <w:numPr>
                <w:ilvl w:val="0"/>
                <w:numId w:val="37"/>
              </w:numPr>
              <w:spacing w:after="118" w:line="239" w:lineRule="auto"/>
              <w:ind w:left="663" w:hanging="281"/>
            </w:pPr>
            <w:r>
              <w:rPr>
                <w:rFonts w:ascii="Corbel" w:eastAsia="Corbel" w:hAnsi="Corbel" w:cs="Corbel"/>
                <w:color w:val="2C2C2C"/>
                <w:sz w:val="21"/>
              </w:rPr>
              <w:t xml:space="preserve">The maximum size of any accessory dwelling unit that is not established within the existing footprint of the principal structure is eight hundred fifty square feet of livable space. </w:t>
            </w:r>
          </w:p>
          <w:p w14:paraId="6125B49B" w14:textId="77777777" w:rsidR="00736494" w:rsidRDefault="009156A5">
            <w:pPr>
              <w:numPr>
                <w:ilvl w:val="0"/>
                <w:numId w:val="37"/>
              </w:numPr>
              <w:spacing w:after="98"/>
              <w:ind w:left="663" w:hanging="281"/>
            </w:pPr>
            <w:r>
              <w:rPr>
                <w:rFonts w:ascii="Corbel" w:eastAsia="Corbel" w:hAnsi="Corbel" w:cs="Corbel"/>
                <w:color w:val="2C2C2C"/>
                <w:sz w:val="21"/>
              </w:rPr>
              <w:t>A rental license for any accessory dwelling unit is required in accordance with</w:t>
            </w:r>
            <w:hyperlink r:id="rId28">
              <w:r>
                <w:rPr>
                  <w:rFonts w:ascii="Corbel" w:eastAsia="Corbel" w:hAnsi="Corbel" w:cs="Corbel"/>
                  <w:color w:val="2C2C2C"/>
                  <w:sz w:val="21"/>
                </w:rPr>
                <w:t xml:space="preserve"> </w:t>
              </w:r>
            </w:hyperlink>
            <w:hyperlink r:id="rId29">
              <w:r>
                <w:rPr>
                  <w:rFonts w:ascii="Corbel" w:eastAsia="Corbel" w:hAnsi="Corbel" w:cs="Corbel"/>
                  <w:color w:val="2C2C2C"/>
                  <w:sz w:val="21"/>
                  <w:u w:val="single" w:color="2C2C2C"/>
                </w:rPr>
                <w:t>Chapter 17.44</w:t>
              </w:r>
            </w:hyperlink>
            <w:hyperlink r:id="rId30">
              <w:r>
                <w:rPr>
                  <w:rFonts w:ascii="Corbel" w:eastAsia="Corbel" w:hAnsi="Corbel" w:cs="Corbel"/>
                  <w:color w:val="2C2C2C"/>
                  <w:sz w:val="21"/>
                </w:rPr>
                <w:t>.</w:t>
              </w:r>
            </w:hyperlink>
            <w:r>
              <w:rPr>
                <w:rFonts w:ascii="Corbel" w:eastAsia="Corbel" w:hAnsi="Corbel" w:cs="Corbel"/>
                <w:color w:val="2C2C2C"/>
                <w:sz w:val="21"/>
              </w:rPr>
              <w:t xml:space="preserve"> </w:t>
            </w:r>
          </w:p>
          <w:p w14:paraId="7E8E9B5C" w14:textId="77777777" w:rsidR="00736494" w:rsidRDefault="009156A5">
            <w:pPr>
              <w:numPr>
                <w:ilvl w:val="0"/>
                <w:numId w:val="37"/>
              </w:numPr>
              <w:spacing w:after="120" w:line="239" w:lineRule="auto"/>
              <w:ind w:left="663" w:hanging="281"/>
            </w:pPr>
            <w:r>
              <w:rPr>
                <w:rFonts w:ascii="Corbel" w:eastAsia="Corbel" w:hAnsi="Corbel" w:cs="Corbel"/>
                <w:color w:val="2C2C2C"/>
                <w:sz w:val="21"/>
              </w:rPr>
              <w:t xml:space="preserve">An accessory dwelling unit and principal structure on any one lot shall be in common ownership and the owner shall reside in either the accessory dwelling unit or the principal structure. </w:t>
            </w:r>
          </w:p>
          <w:p w14:paraId="3FEB1EB2" w14:textId="77777777" w:rsidR="00736494" w:rsidRDefault="009156A5">
            <w:pPr>
              <w:spacing w:after="96"/>
            </w:pPr>
            <w:r>
              <w:rPr>
                <w:rFonts w:ascii="Corbel" w:eastAsia="Corbel" w:hAnsi="Corbel" w:cs="Corbel"/>
                <w:i/>
                <w:color w:val="2C2C2C"/>
                <w:sz w:val="21"/>
              </w:rPr>
              <w:t xml:space="preserve">(Ord. No. O-9-21, § I, 10-11-2021) </w:t>
            </w:r>
          </w:p>
          <w:p w14:paraId="3A055952" w14:textId="77777777" w:rsidR="00736494" w:rsidRDefault="009156A5">
            <w:r>
              <w:rPr>
                <w:rFonts w:ascii="Corbel" w:eastAsia="Corbel" w:hAnsi="Corbel" w:cs="Corbel"/>
                <w:i/>
                <w:color w:val="2C2C2C"/>
                <w:sz w:val="21"/>
              </w:rPr>
              <w:t xml:space="preserve"> </w:t>
            </w:r>
          </w:p>
        </w:tc>
      </w:tr>
    </w:tbl>
    <w:p w14:paraId="18071727" w14:textId="77777777" w:rsidR="00736494" w:rsidRDefault="009156A5">
      <w:pPr>
        <w:spacing w:after="0"/>
      </w:pPr>
      <w:r>
        <w:rPr>
          <w:rFonts w:ascii="Arial" w:eastAsia="Arial" w:hAnsi="Arial" w:cs="Arial"/>
          <w:sz w:val="21"/>
        </w:rPr>
        <w:t xml:space="preserve"> </w:t>
      </w:r>
      <w:r>
        <w:rPr>
          <w:rFonts w:ascii="Arial" w:eastAsia="Arial" w:hAnsi="Arial" w:cs="Arial"/>
          <w:sz w:val="21"/>
        </w:rPr>
        <w:tab/>
      </w:r>
      <w:r>
        <w:rPr>
          <w:rFonts w:ascii="Corbel" w:eastAsia="Corbel" w:hAnsi="Corbel" w:cs="Corbel"/>
          <w:sz w:val="21"/>
        </w:rPr>
        <w:t xml:space="preserve"> </w:t>
      </w:r>
    </w:p>
    <w:tbl>
      <w:tblPr>
        <w:tblStyle w:val="TableGrid"/>
        <w:tblW w:w="9536" w:type="dxa"/>
        <w:tblInd w:w="6" w:type="dxa"/>
        <w:tblCellMar>
          <w:top w:w="61" w:type="dxa"/>
          <w:left w:w="108" w:type="dxa"/>
          <w:right w:w="30" w:type="dxa"/>
        </w:tblCellMar>
        <w:tblLook w:val="04A0" w:firstRow="1" w:lastRow="0" w:firstColumn="1" w:lastColumn="0" w:noHBand="0" w:noVBand="1"/>
      </w:tblPr>
      <w:tblGrid>
        <w:gridCol w:w="671"/>
        <w:gridCol w:w="8865"/>
      </w:tblGrid>
      <w:tr w:rsidR="00736494" w14:paraId="6B8A1EB7" w14:textId="77777777">
        <w:trPr>
          <w:trHeight w:val="9671"/>
        </w:trPr>
        <w:tc>
          <w:tcPr>
            <w:tcW w:w="671" w:type="dxa"/>
            <w:tcBorders>
              <w:top w:val="single" w:sz="4" w:space="0" w:color="000000"/>
              <w:left w:val="single" w:sz="4" w:space="0" w:color="000000"/>
              <w:bottom w:val="single" w:sz="4" w:space="0" w:color="000000"/>
              <w:right w:val="single" w:sz="4" w:space="0" w:color="000000"/>
            </w:tcBorders>
            <w:shd w:val="clear" w:color="auto" w:fill="CCCCFF"/>
          </w:tcPr>
          <w:p w14:paraId="630FEE49" w14:textId="77777777" w:rsidR="00736494" w:rsidRDefault="009156A5">
            <w:pPr>
              <w:ind w:left="82"/>
            </w:pPr>
            <w:r>
              <w:rPr>
                <w:noProof/>
              </w:rPr>
              <w:lastRenderedPageBreak/>
              <mc:AlternateContent>
                <mc:Choice Requires="wpg">
                  <w:drawing>
                    <wp:inline distT="0" distB="0" distL="0" distR="0" wp14:anchorId="26199F82" wp14:editId="400909E8">
                      <wp:extent cx="231391" cy="956920"/>
                      <wp:effectExtent l="0" t="0" r="0" b="0"/>
                      <wp:docPr id="32848" name="Group 32848"/>
                      <wp:cNvGraphicFramePr/>
                      <a:graphic xmlns:a="http://schemas.openxmlformats.org/drawingml/2006/main">
                        <a:graphicData uri="http://schemas.microsoft.com/office/word/2010/wordprocessingGroup">
                          <wpg:wgp>
                            <wpg:cNvGrpSpPr/>
                            <wpg:grpSpPr>
                              <a:xfrm>
                                <a:off x="0" y="0"/>
                                <a:ext cx="231391" cy="956920"/>
                                <a:chOff x="0" y="0"/>
                                <a:chExt cx="231391" cy="956920"/>
                              </a:xfrm>
                            </wpg:grpSpPr>
                            <wps:wsp>
                              <wps:cNvPr id="3828" name="Rectangle 3828"/>
                              <wps:cNvSpPr/>
                              <wps:spPr>
                                <a:xfrm rot="-5399999">
                                  <a:off x="-450096" y="199074"/>
                                  <a:ext cx="1207943" cy="307749"/>
                                </a:xfrm>
                                <a:prstGeom prst="rect">
                                  <a:avLst/>
                                </a:prstGeom>
                                <a:ln>
                                  <a:noFill/>
                                </a:ln>
                              </wps:spPr>
                              <wps:txbx>
                                <w:txbxContent>
                                  <w:p w14:paraId="143D6EE4" w14:textId="77777777" w:rsidR="00736494" w:rsidRDefault="009156A5">
                                    <w:r>
                                      <w:rPr>
                                        <w:rFonts w:ascii="Corbel" w:eastAsia="Corbel" w:hAnsi="Corbel" w:cs="Corbel"/>
                                        <w:b/>
                                        <w:color w:val="363636"/>
                                        <w:sz w:val="36"/>
                                      </w:rPr>
                                      <w:t xml:space="preserve">Example </w:t>
                                    </w:r>
                                  </w:p>
                                </w:txbxContent>
                              </wps:txbx>
                              <wps:bodyPr horzOverflow="overflow" vert="horz" lIns="0" tIns="0" rIns="0" bIns="0" rtlCol="0">
                                <a:noAutofit/>
                              </wps:bodyPr>
                            </wps:wsp>
                            <wps:wsp>
                              <wps:cNvPr id="3829" name="Rectangle 3829"/>
                              <wps:cNvSpPr/>
                              <wps:spPr>
                                <a:xfrm rot="-5399999">
                                  <a:off x="122559" y="-138098"/>
                                  <a:ext cx="62632" cy="307749"/>
                                </a:xfrm>
                                <a:prstGeom prst="rect">
                                  <a:avLst/>
                                </a:prstGeom>
                                <a:ln>
                                  <a:noFill/>
                                </a:ln>
                              </wps:spPr>
                              <wps:txbx>
                                <w:txbxContent>
                                  <w:p w14:paraId="42227363"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2848" style="width:18.2197pt;height:75.348pt;mso-position-horizontal-relative:char;mso-position-vertical-relative:line" coordsize="2313,9569">
                      <v:rect id="Rectangle 3828" style="position:absolute;width:12079;height:3077;left:-4500;top:199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Example </w:t>
                              </w:r>
                            </w:p>
                          </w:txbxContent>
                        </v:textbox>
                      </v:rect>
                      <v:rect id="Rectangle 3829" style="position:absolute;width:626;height:3077;left:1225;top:-138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group>
                  </w:pict>
                </mc:Fallback>
              </mc:AlternateContent>
            </w:r>
          </w:p>
        </w:tc>
        <w:tc>
          <w:tcPr>
            <w:tcW w:w="8865" w:type="dxa"/>
            <w:tcBorders>
              <w:top w:val="single" w:sz="4" w:space="0" w:color="000000"/>
              <w:left w:val="single" w:sz="4" w:space="0" w:color="000000"/>
              <w:bottom w:val="single" w:sz="4" w:space="0" w:color="000000"/>
              <w:right w:val="single" w:sz="4" w:space="0" w:color="000000"/>
            </w:tcBorders>
          </w:tcPr>
          <w:p w14:paraId="75354C6B" w14:textId="77777777" w:rsidR="00736494" w:rsidRDefault="009156A5">
            <w:r>
              <w:rPr>
                <w:rFonts w:ascii="Corbel" w:eastAsia="Corbel" w:hAnsi="Corbel" w:cs="Corbel"/>
                <w:b/>
                <w:i/>
                <w:color w:val="0000FF"/>
                <w:sz w:val="28"/>
              </w:rPr>
              <w:t xml:space="preserve"> </w:t>
            </w:r>
          </w:p>
          <w:p w14:paraId="18C1A646" w14:textId="77777777" w:rsidR="00736494" w:rsidRDefault="009156A5">
            <w:r>
              <w:rPr>
                <w:rFonts w:ascii="Corbel" w:eastAsia="Corbel" w:hAnsi="Corbel" w:cs="Corbel"/>
                <w:b/>
                <w:i/>
                <w:color w:val="0000FF"/>
                <w:sz w:val="28"/>
              </w:rPr>
              <w:t>CARROLL COUNTY:</w:t>
            </w:r>
            <w:r>
              <w:rPr>
                <w:rFonts w:ascii="Corbel" w:eastAsia="Corbel" w:hAnsi="Corbel" w:cs="Corbel"/>
                <w:i/>
                <w:color w:val="0000FF"/>
                <w:sz w:val="28"/>
              </w:rPr>
              <w:t xml:space="preserve"> </w:t>
            </w:r>
          </w:p>
          <w:p w14:paraId="58149994" w14:textId="77777777" w:rsidR="00736494" w:rsidRDefault="009156A5">
            <w:r>
              <w:rPr>
                <w:rFonts w:ascii="Corbel" w:eastAsia="Corbel" w:hAnsi="Corbel" w:cs="Corbel"/>
                <w:color w:val="363636"/>
                <w:sz w:val="21"/>
              </w:rPr>
              <w:t xml:space="preserve"> </w:t>
            </w:r>
          </w:p>
          <w:p w14:paraId="2954ADEA" w14:textId="77777777" w:rsidR="00736494" w:rsidRDefault="009156A5">
            <w:pPr>
              <w:numPr>
                <w:ilvl w:val="0"/>
                <w:numId w:val="38"/>
              </w:numPr>
              <w:spacing w:after="99"/>
              <w:ind w:hanging="403"/>
            </w:pPr>
            <w:r>
              <w:rPr>
                <w:rFonts w:ascii="Corbel" w:eastAsia="Corbel" w:hAnsi="Corbel" w:cs="Corbel"/>
                <w:color w:val="363636"/>
                <w:sz w:val="21"/>
              </w:rPr>
              <w:t xml:space="preserve">Attached accessory dwelling units which are subject to the following:  </w:t>
            </w:r>
          </w:p>
          <w:p w14:paraId="30A0BA1B" w14:textId="77777777" w:rsidR="00736494" w:rsidRDefault="009156A5">
            <w:pPr>
              <w:numPr>
                <w:ilvl w:val="1"/>
                <w:numId w:val="38"/>
              </w:numPr>
              <w:spacing w:after="98"/>
              <w:ind w:hanging="360"/>
            </w:pPr>
            <w:r>
              <w:rPr>
                <w:rFonts w:ascii="Corbel" w:eastAsia="Corbel" w:hAnsi="Corbel" w:cs="Corbel"/>
                <w:color w:val="363636"/>
                <w:sz w:val="21"/>
              </w:rPr>
              <w:t xml:space="preserve">An attached accessory dwelling must have direct access from the outside;  </w:t>
            </w:r>
          </w:p>
          <w:p w14:paraId="21107E52" w14:textId="77777777" w:rsidR="00736494" w:rsidRDefault="009156A5">
            <w:pPr>
              <w:numPr>
                <w:ilvl w:val="1"/>
                <w:numId w:val="38"/>
              </w:numPr>
              <w:spacing w:after="96"/>
              <w:ind w:hanging="360"/>
            </w:pPr>
            <w:r>
              <w:rPr>
                <w:rFonts w:ascii="Corbel" w:eastAsia="Corbel" w:hAnsi="Corbel" w:cs="Corbel"/>
                <w:color w:val="363636"/>
                <w:sz w:val="21"/>
              </w:rPr>
              <w:t xml:space="preserve">Only one attached accessory dwelling is permitted on any principal dwelling unit;  </w:t>
            </w:r>
          </w:p>
          <w:p w14:paraId="10CAC178" w14:textId="77777777" w:rsidR="00736494" w:rsidRDefault="009156A5">
            <w:pPr>
              <w:numPr>
                <w:ilvl w:val="1"/>
                <w:numId w:val="38"/>
              </w:numPr>
              <w:spacing w:after="120" w:line="239" w:lineRule="auto"/>
              <w:ind w:hanging="360"/>
            </w:pPr>
            <w:r>
              <w:rPr>
                <w:rFonts w:ascii="Corbel" w:eastAsia="Corbel" w:hAnsi="Corbel" w:cs="Corbel"/>
                <w:color w:val="363636"/>
                <w:sz w:val="21"/>
              </w:rPr>
              <w:t xml:space="preserve">The property owner must occupy either the principal dwelling unit or the attached accessory dwelling unit on the property;  </w:t>
            </w:r>
          </w:p>
          <w:p w14:paraId="4D6CDC7A" w14:textId="77777777" w:rsidR="00736494" w:rsidRDefault="009156A5">
            <w:pPr>
              <w:numPr>
                <w:ilvl w:val="1"/>
                <w:numId w:val="38"/>
              </w:numPr>
              <w:spacing w:after="117" w:line="239" w:lineRule="auto"/>
              <w:ind w:hanging="360"/>
            </w:pPr>
            <w:r>
              <w:rPr>
                <w:rFonts w:ascii="Corbel" w:eastAsia="Corbel" w:hAnsi="Corbel" w:cs="Corbel"/>
                <w:color w:val="363636"/>
                <w:sz w:val="21"/>
              </w:rPr>
              <w:t xml:space="preserve">The maximum size of an attached accessory dwelling shall be 800 square feet of the livable floor area or one-third of the total livable floor area of the principal dwelling unit, whichever is greater;  </w:t>
            </w:r>
          </w:p>
          <w:p w14:paraId="645323E3" w14:textId="77777777" w:rsidR="00736494" w:rsidRDefault="009156A5">
            <w:pPr>
              <w:numPr>
                <w:ilvl w:val="1"/>
                <w:numId w:val="38"/>
              </w:numPr>
              <w:spacing w:after="114"/>
              <w:ind w:hanging="360"/>
            </w:pPr>
            <w:r>
              <w:rPr>
                <w:rFonts w:ascii="Corbel" w:eastAsia="Corbel" w:hAnsi="Corbel" w:cs="Corbel"/>
                <w:color w:val="363636"/>
                <w:sz w:val="21"/>
              </w:rPr>
              <w:t xml:space="preserve">The attached accessory dwelling unit shall have no more than 2 bedrooms;  </w:t>
            </w:r>
          </w:p>
          <w:p w14:paraId="6494A70F" w14:textId="77777777" w:rsidR="00736494" w:rsidRDefault="009156A5">
            <w:pPr>
              <w:numPr>
                <w:ilvl w:val="1"/>
                <w:numId w:val="38"/>
              </w:numPr>
              <w:spacing w:after="120" w:line="239" w:lineRule="auto"/>
              <w:ind w:hanging="360"/>
            </w:pPr>
            <w:r>
              <w:rPr>
                <w:rFonts w:ascii="Corbel" w:eastAsia="Corbel" w:hAnsi="Corbel" w:cs="Corbel"/>
                <w:color w:val="363636"/>
                <w:sz w:val="21"/>
              </w:rPr>
              <w:t xml:space="preserve">The attached accessory dwelling unit must meet all applicable building construction and Maryland Department of Health and Mental Hygiene and MDE;  </w:t>
            </w:r>
          </w:p>
          <w:p w14:paraId="35D9E45C" w14:textId="77777777" w:rsidR="00736494" w:rsidRDefault="009156A5">
            <w:pPr>
              <w:numPr>
                <w:ilvl w:val="1"/>
                <w:numId w:val="38"/>
              </w:numPr>
              <w:spacing w:after="120" w:line="239" w:lineRule="auto"/>
              <w:ind w:hanging="360"/>
            </w:pPr>
            <w:r>
              <w:rPr>
                <w:rFonts w:ascii="Corbel" w:eastAsia="Corbel" w:hAnsi="Corbel" w:cs="Corbel"/>
                <w:color w:val="363636"/>
                <w:sz w:val="21"/>
              </w:rPr>
              <w:t xml:space="preserve">Two additional off street parking spaces must be provided for the attached accessory dwelling unit; and  </w:t>
            </w:r>
          </w:p>
          <w:p w14:paraId="031A6535" w14:textId="77777777" w:rsidR="00736494" w:rsidRDefault="009156A5">
            <w:pPr>
              <w:numPr>
                <w:ilvl w:val="1"/>
                <w:numId w:val="38"/>
              </w:numPr>
              <w:spacing w:after="96"/>
              <w:ind w:hanging="360"/>
            </w:pPr>
            <w:r>
              <w:rPr>
                <w:rFonts w:ascii="Corbel" w:eastAsia="Corbel" w:hAnsi="Corbel" w:cs="Corbel"/>
                <w:color w:val="363636"/>
                <w:sz w:val="21"/>
              </w:rPr>
              <w:t xml:space="preserve">Only one accessory dwelling unit (attached or detached) shall be permitted on a lot.  </w:t>
            </w:r>
          </w:p>
          <w:p w14:paraId="26A9562E" w14:textId="77777777" w:rsidR="00736494" w:rsidRDefault="009156A5">
            <w:pPr>
              <w:numPr>
                <w:ilvl w:val="0"/>
                <w:numId w:val="38"/>
              </w:numPr>
              <w:spacing w:after="120" w:line="239" w:lineRule="auto"/>
              <w:ind w:hanging="403"/>
            </w:pPr>
            <w:r>
              <w:rPr>
                <w:rFonts w:ascii="Corbel" w:eastAsia="Corbel" w:hAnsi="Corbel" w:cs="Corbel"/>
                <w:color w:val="363636"/>
                <w:sz w:val="21"/>
              </w:rPr>
              <w:t xml:space="preserve">Detached accessory dwelling units, provided that the lot or parcel is eligible to be subdivided to separate the detached accessory dwelling and which are subject to the following:  </w:t>
            </w:r>
          </w:p>
          <w:p w14:paraId="495BF7D5" w14:textId="77777777" w:rsidR="00736494" w:rsidRDefault="009156A5">
            <w:pPr>
              <w:numPr>
                <w:ilvl w:val="1"/>
                <w:numId w:val="38"/>
              </w:numPr>
              <w:spacing w:after="121" w:line="238" w:lineRule="auto"/>
              <w:ind w:hanging="360"/>
            </w:pPr>
            <w:r>
              <w:rPr>
                <w:rFonts w:ascii="Corbel" w:eastAsia="Corbel" w:hAnsi="Corbel" w:cs="Corbel"/>
                <w:color w:val="363636"/>
                <w:sz w:val="21"/>
              </w:rPr>
              <w:t xml:space="preserve">Only one detached accessory dwelling unit is permitted on any lot or parcel. Buildings converted in accordance with § 158.070(D) shall be considered detached accessory dwelling units;  </w:t>
            </w:r>
          </w:p>
          <w:p w14:paraId="683F7E0B" w14:textId="77777777" w:rsidR="00736494" w:rsidRDefault="009156A5">
            <w:pPr>
              <w:numPr>
                <w:ilvl w:val="1"/>
                <w:numId w:val="38"/>
              </w:numPr>
              <w:spacing w:after="120" w:line="239" w:lineRule="auto"/>
              <w:ind w:hanging="360"/>
            </w:pPr>
            <w:r>
              <w:rPr>
                <w:rFonts w:ascii="Corbel" w:eastAsia="Corbel" w:hAnsi="Corbel" w:cs="Corbel"/>
                <w:color w:val="363636"/>
                <w:sz w:val="21"/>
              </w:rPr>
              <w:t xml:space="preserve">The property owner must occupy either the principal dwelling unit or the detached accessory dwelling unit on the lot or parcel;  </w:t>
            </w:r>
          </w:p>
          <w:p w14:paraId="66D359C4" w14:textId="77777777" w:rsidR="00736494" w:rsidRDefault="009156A5">
            <w:pPr>
              <w:numPr>
                <w:ilvl w:val="1"/>
                <w:numId w:val="38"/>
              </w:numPr>
              <w:spacing w:after="118" w:line="239" w:lineRule="auto"/>
              <w:ind w:hanging="360"/>
            </w:pPr>
            <w:r>
              <w:rPr>
                <w:rFonts w:ascii="Corbel" w:eastAsia="Corbel" w:hAnsi="Corbel" w:cs="Corbel"/>
                <w:color w:val="363636"/>
                <w:sz w:val="21"/>
              </w:rPr>
              <w:t xml:space="preserve">The detached accessory dwelling unit must meet all applicable building construction and Maryland Department of Health and Mental Hygiene and MDE;  </w:t>
            </w:r>
          </w:p>
          <w:p w14:paraId="55279203" w14:textId="77777777" w:rsidR="00736494" w:rsidRDefault="009156A5">
            <w:pPr>
              <w:numPr>
                <w:ilvl w:val="1"/>
                <w:numId w:val="38"/>
              </w:numPr>
              <w:spacing w:after="120" w:line="239" w:lineRule="auto"/>
              <w:ind w:hanging="360"/>
            </w:pPr>
            <w:r>
              <w:rPr>
                <w:rFonts w:ascii="Corbel" w:eastAsia="Corbel" w:hAnsi="Corbel" w:cs="Corbel"/>
                <w:color w:val="363636"/>
                <w:sz w:val="21"/>
              </w:rPr>
              <w:t xml:space="preserve">Two off street parking spaces must be provided for the detached accessory dwelling unit; and  </w:t>
            </w:r>
          </w:p>
          <w:p w14:paraId="6A1966D0" w14:textId="77777777" w:rsidR="00736494" w:rsidRDefault="009156A5">
            <w:pPr>
              <w:numPr>
                <w:ilvl w:val="1"/>
                <w:numId w:val="38"/>
              </w:numPr>
              <w:ind w:hanging="360"/>
            </w:pPr>
            <w:r>
              <w:rPr>
                <w:rFonts w:ascii="Corbel" w:eastAsia="Corbel" w:hAnsi="Corbel" w:cs="Corbel"/>
                <w:color w:val="363636"/>
                <w:sz w:val="21"/>
              </w:rPr>
              <w:t xml:space="preserve">Detached accessory dwelling units shall not be subject to any size limits.  </w:t>
            </w:r>
          </w:p>
        </w:tc>
      </w:tr>
    </w:tbl>
    <w:p w14:paraId="2CC93490" w14:textId="77777777" w:rsidR="00736494" w:rsidRDefault="009156A5">
      <w:pPr>
        <w:spacing w:after="0"/>
        <w:jc w:val="both"/>
      </w:pPr>
      <w:r>
        <w:rPr>
          <w:rFonts w:ascii="Arial" w:eastAsia="Arial" w:hAnsi="Arial" w:cs="Arial"/>
          <w:sz w:val="21"/>
        </w:rPr>
        <w:t xml:space="preserve"> </w:t>
      </w:r>
      <w:r>
        <w:rPr>
          <w:rFonts w:ascii="Arial" w:eastAsia="Arial" w:hAnsi="Arial" w:cs="Arial"/>
          <w:sz w:val="21"/>
        </w:rPr>
        <w:tab/>
      </w:r>
      <w:r>
        <w:rPr>
          <w:rFonts w:ascii="Corbel" w:eastAsia="Corbel" w:hAnsi="Corbel" w:cs="Corbel"/>
          <w:sz w:val="21"/>
        </w:rPr>
        <w:t xml:space="preserve"> </w:t>
      </w:r>
    </w:p>
    <w:p w14:paraId="3DF2494F" w14:textId="77777777" w:rsidR="00736494" w:rsidRDefault="009156A5">
      <w:pPr>
        <w:spacing w:after="0"/>
      </w:pPr>
      <w:r>
        <w:rPr>
          <w:rFonts w:ascii="Corbel" w:eastAsia="Corbel" w:hAnsi="Corbel" w:cs="Corbel"/>
          <w:sz w:val="21"/>
        </w:rPr>
        <w:t xml:space="preserve"> </w:t>
      </w:r>
    </w:p>
    <w:tbl>
      <w:tblPr>
        <w:tblStyle w:val="TableGrid"/>
        <w:tblW w:w="9536" w:type="dxa"/>
        <w:tblInd w:w="6" w:type="dxa"/>
        <w:tblCellMar>
          <w:top w:w="48" w:type="dxa"/>
          <w:left w:w="108" w:type="dxa"/>
          <w:right w:w="98" w:type="dxa"/>
        </w:tblCellMar>
        <w:tblLook w:val="04A0" w:firstRow="1" w:lastRow="0" w:firstColumn="1" w:lastColumn="0" w:noHBand="0" w:noVBand="1"/>
      </w:tblPr>
      <w:tblGrid>
        <w:gridCol w:w="671"/>
        <w:gridCol w:w="8865"/>
      </w:tblGrid>
      <w:tr w:rsidR="00736494" w14:paraId="408716DC" w14:textId="77777777">
        <w:trPr>
          <w:trHeight w:val="10626"/>
        </w:trPr>
        <w:tc>
          <w:tcPr>
            <w:tcW w:w="671" w:type="dxa"/>
            <w:tcBorders>
              <w:top w:val="single" w:sz="4" w:space="0" w:color="000000"/>
              <w:left w:val="single" w:sz="4" w:space="0" w:color="000000"/>
              <w:bottom w:val="single" w:sz="4" w:space="0" w:color="000000"/>
              <w:right w:val="single" w:sz="4" w:space="0" w:color="000000"/>
            </w:tcBorders>
            <w:shd w:val="clear" w:color="auto" w:fill="CCCCFF"/>
          </w:tcPr>
          <w:p w14:paraId="12F3431A" w14:textId="77777777" w:rsidR="00736494" w:rsidRDefault="009156A5">
            <w:pPr>
              <w:ind w:left="82"/>
            </w:pPr>
            <w:r>
              <w:rPr>
                <w:noProof/>
              </w:rPr>
              <w:lastRenderedPageBreak/>
              <mc:AlternateContent>
                <mc:Choice Requires="wpg">
                  <w:drawing>
                    <wp:inline distT="0" distB="0" distL="0" distR="0" wp14:anchorId="35CDCE4B" wp14:editId="336FD1E3">
                      <wp:extent cx="231391" cy="1004164"/>
                      <wp:effectExtent l="0" t="0" r="0" b="0"/>
                      <wp:docPr id="35274" name="Group 35274"/>
                      <wp:cNvGraphicFramePr/>
                      <a:graphic xmlns:a="http://schemas.openxmlformats.org/drawingml/2006/main">
                        <a:graphicData uri="http://schemas.microsoft.com/office/word/2010/wordprocessingGroup">
                          <wpg:wgp>
                            <wpg:cNvGrpSpPr/>
                            <wpg:grpSpPr>
                              <a:xfrm>
                                <a:off x="0" y="0"/>
                                <a:ext cx="231391" cy="1004164"/>
                                <a:chOff x="0" y="0"/>
                                <a:chExt cx="231391" cy="1004164"/>
                              </a:xfrm>
                            </wpg:grpSpPr>
                            <wps:wsp>
                              <wps:cNvPr id="3960" name="Rectangle 3960"/>
                              <wps:cNvSpPr/>
                              <wps:spPr>
                                <a:xfrm rot="-5399999">
                                  <a:off x="-481412" y="215002"/>
                                  <a:ext cx="1270575" cy="307749"/>
                                </a:xfrm>
                                <a:prstGeom prst="rect">
                                  <a:avLst/>
                                </a:prstGeom>
                                <a:ln>
                                  <a:noFill/>
                                </a:ln>
                              </wps:spPr>
                              <wps:txbx>
                                <w:txbxContent>
                                  <w:p w14:paraId="36646E53" w14:textId="77777777" w:rsidR="00736494" w:rsidRDefault="009156A5">
                                    <w:r>
                                      <w:rPr>
                                        <w:rFonts w:ascii="Corbel" w:eastAsia="Corbel" w:hAnsi="Corbel" w:cs="Corbel"/>
                                        <w:b/>
                                        <w:color w:val="363636"/>
                                        <w:sz w:val="36"/>
                                      </w:rPr>
                                      <w:t xml:space="preserve">Example  </w:t>
                                    </w:r>
                                  </w:p>
                                </w:txbxContent>
                              </wps:txbx>
                              <wps:bodyPr horzOverflow="overflow" vert="horz" lIns="0" tIns="0" rIns="0" bIns="0" rtlCol="0">
                                <a:noAutofit/>
                              </wps:bodyPr>
                            </wps:wsp>
                            <wps:wsp>
                              <wps:cNvPr id="3961" name="Rectangle 3961"/>
                              <wps:cNvSpPr/>
                              <wps:spPr>
                                <a:xfrm rot="-5399999">
                                  <a:off x="122559" y="-138098"/>
                                  <a:ext cx="62632" cy="307749"/>
                                </a:xfrm>
                                <a:prstGeom prst="rect">
                                  <a:avLst/>
                                </a:prstGeom>
                                <a:ln>
                                  <a:noFill/>
                                </a:ln>
                              </wps:spPr>
                              <wps:txbx>
                                <w:txbxContent>
                                  <w:p w14:paraId="1CEA6BBF" w14:textId="77777777" w:rsidR="00736494" w:rsidRDefault="009156A5">
                                    <w:r>
                                      <w:rPr>
                                        <w:rFonts w:ascii="Corbel" w:eastAsia="Corbel" w:hAnsi="Corbel" w:cs="Corbel"/>
                                        <w:b/>
                                        <w:color w:val="363636"/>
                                        <w:sz w:val="3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5274" style="width:18.2197pt;height:79.068pt;mso-position-horizontal-relative:char;mso-position-vertical-relative:line" coordsize="2313,10041">
                      <v:rect id="Rectangle 3960" style="position:absolute;width:12705;height:3077;left:-4814;top:215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Example  </w:t>
                              </w:r>
                            </w:p>
                          </w:txbxContent>
                        </v:textbox>
                      </v:rect>
                      <v:rect id="Rectangle 3961" style="position:absolute;width:626;height:3077;left:1225;top:-138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36"/>
                                </w:rPr>
                                <w:t xml:space="preserve"> </w:t>
                              </w:r>
                            </w:p>
                          </w:txbxContent>
                        </v:textbox>
                      </v:rect>
                    </v:group>
                  </w:pict>
                </mc:Fallback>
              </mc:AlternateContent>
            </w:r>
          </w:p>
        </w:tc>
        <w:tc>
          <w:tcPr>
            <w:tcW w:w="8865" w:type="dxa"/>
            <w:tcBorders>
              <w:top w:val="single" w:sz="4" w:space="0" w:color="000000"/>
              <w:left w:val="single" w:sz="4" w:space="0" w:color="000000"/>
              <w:bottom w:val="single" w:sz="4" w:space="0" w:color="000000"/>
              <w:right w:val="single" w:sz="4" w:space="0" w:color="000000"/>
            </w:tcBorders>
          </w:tcPr>
          <w:p w14:paraId="19620966" w14:textId="77777777" w:rsidR="00736494" w:rsidRDefault="009156A5">
            <w:pPr>
              <w:spacing w:after="43"/>
            </w:pPr>
            <w:r>
              <w:rPr>
                <w:rFonts w:ascii="Corbel" w:eastAsia="Corbel" w:hAnsi="Corbel" w:cs="Corbel"/>
                <w:b/>
                <w:color w:val="363636"/>
                <w:sz w:val="21"/>
              </w:rPr>
              <w:t xml:space="preserve"> </w:t>
            </w:r>
          </w:p>
          <w:p w14:paraId="610F566F" w14:textId="77777777" w:rsidR="00736494" w:rsidRDefault="009156A5">
            <w:r>
              <w:rPr>
                <w:rFonts w:ascii="Corbel" w:eastAsia="Corbel" w:hAnsi="Corbel" w:cs="Corbel"/>
                <w:b/>
                <w:i/>
                <w:color w:val="0000FF"/>
                <w:sz w:val="28"/>
              </w:rPr>
              <w:t>FREDERICK COUNTY:</w:t>
            </w:r>
            <w:r>
              <w:rPr>
                <w:rFonts w:ascii="Corbel" w:eastAsia="Corbel" w:hAnsi="Corbel" w:cs="Corbel"/>
                <w:i/>
                <w:color w:val="0000FF"/>
                <w:sz w:val="28"/>
              </w:rPr>
              <w:t xml:space="preserve"> </w:t>
            </w:r>
          </w:p>
          <w:p w14:paraId="2473CC00" w14:textId="77777777" w:rsidR="00736494" w:rsidRDefault="009156A5">
            <w:r>
              <w:rPr>
                <w:rFonts w:ascii="Corbel" w:eastAsia="Corbel" w:hAnsi="Corbel" w:cs="Corbel"/>
                <w:b/>
                <w:color w:val="363636"/>
                <w:sz w:val="21"/>
              </w:rPr>
              <w:t xml:space="preserve"> </w:t>
            </w:r>
          </w:p>
          <w:p w14:paraId="0965D027" w14:textId="77777777" w:rsidR="00736494" w:rsidRDefault="009156A5">
            <w:pPr>
              <w:spacing w:after="118" w:line="239" w:lineRule="auto"/>
              <w:jc w:val="both"/>
            </w:pPr>
            <w:r>
              <w:rPr>
                <w:rFonts w:ascii="Corbel" w:eastAsia="Corbel" w:hAnsi="Corbel" w:cs="Corbel"/>
                <w:b/>
                <w:color w:val="363636"/>
                <w:sz w:val="21"/>
              </w:rPr>
              <w:t xml:space="preserve">§ 1-19-8.212 LIMITED ACCESSORY DWELLING UNITS IN THE RC, A, R1, R3, R5, R8, R12, R16, VC, MXD, PUD, AND MX DISTRICTS. </w:t>
            </w:r>
          </w:p>
          <w:p w14:paraId="21EF2BD5" w14:textId="77777777" w:rsidR="00736494" w:rsidRDefault="009156A5">
            <w:pPr>
              <w:spacing w:after="120" w:line="239" w:lineRule="auto"/>
            </w:pPr>
            <w:r>
              <w:rPr>
                <w:rFonts w:ascii="Corbel" w:eastAsia="Corbel" w:hAnsi="Corbel" w:cs="Corbel"/>
                <w:color w:val="363636"/>
                <w:sz w:val="21"/>
              </w:rPr>
              <w:t xml:space="preserve">   The following provisions shall apply to limited accessory dwelling units in the RC, A, R1, R3, R5, R8, R12, R16, VC, MXD, PUD, and MX districts. </w:t>
            </w:r>
          </w:p>
          <w:p w14:paraId="6F713EAD" w14:textId="77777777" w:rsidR="00736494" w:rsidRDefault="009156A5">
            <w:pPr>
              <w:numPr>
                <w:ilvl w:val="0"/>
                <w:numId w:val="39"/>
              </w:numPr>
              <w:spacing w:after="98"/>
              <w:ind w:hanging="391"/>
            </w:pPr>
            <w:r>
              <w:rPr>
                <w:rFonts w:ascii="Corbel" w:eastAsia="Corbel" w:hAnsi="Corbel" w:cs="Corbel"/>
                <w:color w:val="363636"/>
                <w:sz w:val="21"/>
              </w:rPr>
              <w:t xml:space="preserve">Only 1 limited </w:t>
            </w:r>
            <w:r>
              <w:rPr>
                <w:rFonts w:ascii="Corbel" w:eastAsia="Corbel" w:hAnsi="Corbel" w:cs="Corbel"/>
                <w:color w:val="2C2C2C"/>
                <w:sz w:val="21"/>
              </w:rPr>
              <w:t xml:space="preserve">accessory dwelling unit ("ADU") may be created on a lot. </w:t>
            </w:r>
          </w:p>
          <w:p w14:paraId="667E6ACE" w14:textId="77777777" w:rsidR="00736494" w:rsidRDefault="009156A5">
            <w:pPr>
              <w:numPr>
                <w:ilvl w:val="0"/>
                <w:numId w:val="39"/>
              </w:numPr>
              <w:spacing w:after="117" w:line="240" w:lineRule="auto"/>
              <w:ind w:hanging="391"/>
            </w:pPr>
            <w:r>
              <w:rPr>
                <w:rFonts w:ascii="Corbel" w:eastAsia="Corbel" w:hAnsi="Corbel" w:cs="Corbel"/>
                <w:color w:val="2C2C2C"/>
                <w:sz w:val="21"/>
              </w:rPr>
              <w:t xml:space="preserve">A limited accessory dwelling unit shall be allowed within single-family dwellings, in an accessory structure, or built as a separate accessory structure on a single-family lot. </w:t>
            </w:r>
          </w:p>
          <w:p w14:paraId="1AD459B3" w14:textId="77777777" w:rsidR="00736494" w:rsidRDefault="009156A5">
            <w:pPr>
              <w:numPr>
                <w:ilvl w:val="0"/>
                <w:numId w:val="39"/>
              </w:numPr>
              <w:spacing w:after="120" w:line="239" w:lineRule="auto"/>
              <w:ind w:hanging="391"/>
            </w:pPr>
            <w:r>
              <w:rPr>
                <w:rFonts w:ascii="Corbel" w:eastAsia="Corbel" w:hAnsi="Corbel" w:cs="Corbel"/>
                <w:color w:val="2C2C2C"/>
                <w:sz w:val="21"/>
              </w:rPr>
              <w:t xml:space="preserve">The owner of the property must reside in the principal dwelling or in the accessory dwelling unit. </w:t>
            </w:r>
          </w:p>
          <w:p w14:paraId="5F81DAFA" w14:textId="77777777" w:rsidR="00736494" w:rsidRDefault="009156A5">
            <w:pPr>
              <w:numPr>
                <w:ilvl w:val="0"/>
                <w:numId w:val="39"/>
              </w:numPr>
              <w:spacing w:after="120" w:line="239" w:lineRule="auto"/>
              <w:ind w:hanging="391"/>
            </w:pPr>
            <w:r>
              <w:rPr>
                <w:rFonts w:ascii="Corbel" w:eastAsia="Corbel" w:hAnsi="Corbel" w:cs="Corbel"/>
                <w:color w:val="2C2C2C"/>
                <w:sz w:val="21"/>
              </w:rPr>
              <w:t xml:space="preserve">There must be at least 1 additional parking space provided for the limited accessory dwelling unit. On-street parking may be utilized to meet this requirement. </w:t>
            </w:r>
          </w:p>
          <w:p w14:paraId="13BA9672" w14:textId="77777777" w:rsidR="00736494" w:rsidRDefault="009156A5">
            <w:pPr>
              <w:numPr>
                <w:ilvl w:val="0"/>
                <w:numId w:val="39"/>
              </w:numPr>
              <w:spacing w:after="121" w:line="238" w:lineRule="auto"/>
              <w:ind w:hanging="391"/>
            </w:pPr>
            <w:r>
              <w:rPr>
                <w:rFonts w:ascii="Corbel" w:eastAsia="Corbel" w:hAnsi="Corbel" w:cs="Corbel"/>
                <w:color w:val="2C2C2C"/>
                <w:sz w:val="21"/>
              </w:rPr>
              <w:t xml:space="preserve">The limited accessory dwelling unit shall not exceed 1,000 square feet in size, excluding decks, porches, patios or other items that are not part of the primary footprint of the accessory dwelling unit. An accessory dwelling unit greater than 1,000 square feet shall be reviewed as a special exception under § 1-19-8.321. </w:t>
            </w:r>
          </w:p>
          <w:p w14:paraId="782A3CEC" w14:textId="77777777" w:rsidR="00736494" w:rsidRDefault="009156A5">
            <w:pPr>
              <w:numPr>
                <w:ilvl w:val="0"/>
                <w:numId w:val="39"/>
              </w:numPr>
              <w:spacing w:after="117" w:line="239" w:lineRule="auto"/>
              <w:ind w:hanging="391"/>
            </w:pPr>
            <w:r>
              <w:rPr>
                <w:rFonts w:ascii="Corbel" w:eastAsia="Corbel" w:hAnsi="Corbel" w:cs="Corbel"/>
                <w:color w:val="2C2C2C"/>
                <w:sz w:val="21"/>
              </w:rPr>
              <w:t xml:space="preserve">A limited accessory dwelling unit located in an accessory structure or built as a separate accessory structure must comply with the accessory structure requirements of § 1-198.240(B). </w:t>
            </w:r>
          </w:p>
          <w:p w14:paraId="07701BB4" w14:textId="77777777" w:rsidR="00736494" w:rsidRDefault="009156A5">
            <w:pPr>
              <w:numPr>
                <w:ilvl w:val="0"/>
                <w:numId w:val="39"/>
              </w:numPr>
              <w:spacing w:after="120" w:line="239" w:lineRule="auto"/>
              <w:ind w:hanging="391"/>
            </w:pPr>
            <w:r>
              <w:rPr>
                <w:rFonts w:ascii="Corbel" w:eastAsia="Corbel" w:hAnsi="Corbel" w:cs="Corbel"/>
                <w:color w:val="2C2C2C"/>
                <w:sz w:val="21"/>
              </w:rPr>
              <w:t xml:space="preserve">ADUs are intended to serve ongoing housing needs of county residents. Short term rental of ADUs in the nature of extended stay hotels, </w:t>
            </w:r>
            <w:proofErr w:type="spellStart"/>
            <w:r>
              <w:rPr>
                <w:rFonts w:ascii="Corbel" w:eastAsia="Corbel" w:hAnsi="Corbel" w:cs="Corbel"/>
                <w:color w:val="2C2C2C"/>
                <w:sz w:val="21"/>
              </w:rPr>
              <w:t>Airbnbs</w:t>
            </w:r>
            <w:proofErr w:type="spellEnd"/>
            <w:r>
              <w:rPr>
                <w:rFonts w:ascii="Corbel" w:eastAsia="Corbel" w:hAnsi="Corbel" w:cs="Corbel"/>
                <w:color w:val="2C2C2C"/>
                <w:sz w:val="21"/>
              </w:rPr>
              <w:t xml:space="preserve">, or seasonal temporary housing is not permitted. </w:t>
            </w:r>
          </w:p>
          <w:p w14:paraId="72E38681" w14:textId="77777777" w:rsidR="00736494" w:rsidRDefault="009156A5">
            <w:pPr>
              <w:numPr>
                <w:ilvl w:val="0"/>
                <w:numId w:val="39"/>
              </w:numPr>
              <w:ind w:hanging="391"/>
            </w:pPr>
            <w:r>
              <w:rPr>
                <w:rFonts w:ascii="Corbel" w:eastAsia="Corbel" w:hAnsi="Corbel" w:cs="Corbel"/>
                <w:color w:val="2C2C2C"/>
                <w:sz w:val="21"/>
              </w:rPr>
              <w:t xml:space="preserve">The owner of the principal residence shall file an annual statement with the Zoning </w:t>
            </w:r>
          </w:p>
          <w:p w14:paraId="1DABF2F5" w14:textId="77777777" w:rsidR="00736494" w:rsidRDefault="009156A5">
            <w:pPr>
              <w:spacing w:after="118" w:line="239" w:lineRule="auto"/>
              <w:ind w:left="742"/>
            </w:pPr>
            <w:r>
              <w:rPr>
                <w:rFonts w:ascii="Corbel" w:eastAsia="Corbel" w:hAnsi="Corbel" w:cs="Corbel"/>
                <w:color w:val="2C2C2C"/>
                <w:sz w:val="21"/>
              </w:rPr>
              <w:t xml:space="preserve">Administrator verifying that conditions under which the limited accessory dwelling unit was granted remain the same. </w:t>
            </w:r>
          </w:p>
          <w:p w14:paraId="689470A7" w14:textId="77777777" w:rsidR="00736494" w:rsidRDefault="009156A5">
            <w:pPr>
              <w:numPr>
                <w:ilvl w:val="0"/>
                <w:numId w:val="39"/>
              </w:numPr>
              <w:spacing w:after="120" w:line="239" w:lineRule="auto"/>
              <w:ind w:hanging="391"/>
            </w:pPr>
            <w:r>
              <w:rPr>
                <w:rFonts w:ascii="Corbel" w:eastAsia="Corbel" w:hAnsi="Corbel" w:cs="Corbel"/>
                <w:color w:val="2C2C2C"/>
                <w:sz w:val="21"/>
              </w:rPr>
              <w:t xml:space="preserve">If the ownership of the lot changes, the subsequent owner must provide a statement as to the continued use and eligibility of the accessory dwelling unit. </w:t>
            </w:r>
          </w:p>
          <w:p w14:paraId="21B293BB" w14:textId="77777777" w:rsidR="00736494" w:rsidRDefault="009156A5">
            <w:pPr>
              <w:numPr>
                <w:ilvl w:val="0"/>
                <w:numId w:val="39"/>
              </w:numPr>
              <w:spacing w:after="121" w:line="238" w:lineRule="auto"/>
              <w:ind w:hanging="391"/>
            </w:pPr>
            <w:r>
              <w:rPr>
                <w:rFonts w:ascii="Corbel" w:eastAsia="Corbel" w:hAnsi="Corbel" w:cs="Corbel"/>
                <w:color w:val="2C2C2C"/>
                <w:sz w:val="21"/>
              </w:rPr>
              <w:t xml:space="preserve">If the Zoning Administrator, after consultation with appropriate County staff, determines that the limited accessory dwelling unit is not in compliance with the above provisions as well as all safety, health, and environmental standards, approval of the accessory dwelling unit may be revoked pursuant to § 1-19-2.210. </w:t>
            </w:r>
          </w:p>
          <w:p w14:paraId="5ADA3756" w14:textId="77777777" w:rsidR="00736494" w:rsidRDefault="009156A5">
            <w:r>
              <w:rPr>
                <w:rFonts w:ascii="Corbel" w:eastAsia="Corbel" w:hAnsi="Corbel" w:cs="Corbel"/>
                <w:color w:val="2C2C2C"/>
                <w:sz w:val="21"/>
              </w:rPr>
              <w:t xml:space="preserve">(Ord. 11-25-591, 10-27-2011; Ord. 11-28-594, 11-22-2011; Ord. 14-23-678, 11-13-2014; Bill No. 18-16, </w:t>
            </w:r>
          </w:p>
          <w:p w14:paraId="0089C63F" w14:textId="77777777" w:rsidR="00736494" w:rsidRDefault="009156A5">
            <w:r>
              <w:rPr>
                <w:rFonts w:ascii="Corbel" w:eastAsia="Corbel" w:hAnsi="Corbel" w:cs="Corbel"/>
                <w:color w:val="2C2C2C"/>
                <w:sz w:val="21"/>
              </w:rPr>
              <w:t>8-21-2018; Bill No. 20-10, 7-21-2020)</w:t>
            </w:r>
            <w:r>
              <w:rPr>
                <w:rFonts w:ascii="Corbel" w:eastAsia="Corbel" w:hAnsi="Corbel" w:cs="Corbel"/>
                <w:color w:val="363636"/>
                <w:sz w:val="21"/>
              </w:rPr>
              <w:t xml:space="preserve"> </w:t>
            </w:r>
          </w:p>
        </w:tc>
      </w:tr>
    </w:tbl>
    <w:p w14:paraId="1984C3B4" w14:textId="77777777" w:rsidR="00736494" w:rsidRDefault="009156A5">
      <w:pPr>
        <w:spacing w:after="320"/>
      </w:pPr>
      <w:r>
        <w:rPr>
          <w:rFonts w:ascii="Corbel" w:eastAsia="Corbel" w:hAnsi="Corbel" w:cs="Corbel"/>
          <w:sz w:val="21"/>
        </w:rPr>
        <w:t xml:space="preserve"> </w:t>
      </w:r>
    </w:p>
    <w:p w14:paraId="15547DCD" w14:textId="77777777" w:rsidR="00736494" w:rsidRDefault="009156A5">
      <w:pPr>
        <w:spacing w:after="0"/>
        <w:jc w:val="both"/>
      </w:pPr>
      <w:r>
        <w:rPr>
          <w:rFonts w:ascii="Arial" w:eastAsia="Arial" w:hAnsi="Arial" w:cs="Arial"/>
          <w:sz w:val="21"/>
        </w:rPr>
        <w:t xml:space="preserve"> </w:t>
      </w:r>
      <w:r>
        <w:rPr>
          <w:rFonts w:ascii="Arial" w:eastAsia="Arial" w:hAnsi="Arial" w:cs="Arial"/>
          <w:sz w:val="21"/>
        </w:rPr>
        <w:tab/>
      </w:r>
      <w:r>
        <w:rPr>
          <w:rFonts w:ascii="Corbel" w:eastAsia="Corbel" w:hAnsi="Corbel" w:cs="Corbel"/>
          <w:color w:val="BF8F00"/>
          <w:sz w:val="36"/>
        </w:rPr>
        <w:t xml:space="preserve"> </w:t>
      </w:r>
    </w:p>
    <w:p w14:paraId="656AD7CB" w14:textId="77777777" w:rsidR="00736494" w:rsidRDefault="009156A5">
      <w:pPr>
        <w:pStyle w:val="Heading1"/>
        <w:ind w:left="-5"/>
      </w:pPr>
      <w:bookmarkStart w:id="5" w:name="_Toc37495"/>
      <w:r>
        <w:lastRenderedPageBreak/>
        <w:t xml:space="preserve">ADU Ordinance – Other Resources </w:t>
      </w:r>
      <w:bookmarkEnd w:id="5"/>
    </w:p>
    <w:p w14:paraId="4EE57B09" w14:textId="77777777" w:rsidR="00736494" w:rsidRDefault="009156A5">
      <w:pPr>
        <w:spacing w:after="101"/>
        <w:ind w:left="-29" w:right="-36"/>
      </w:pPr>
      <w:r>
        <w:rPr>
          <w:noProof/>
        </w:rPr>
        <mc:AlternateContent>
          <mc:Choice Requires="wpg">
            <w:drawing>
              <wp:inline distT="0" distB="0" distL="0" distR="0" wp14:anchorId="63D3C59C" wp14:editId="4E50CAD6">
                <wp:extent cx="5981065" cy="6096"/>
                <wp:effectExtent l="0" t="0" r="0" b="0"/>
                <wp:docPr id="35959" name="Group 35959"/>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7981" name="Shape 3798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inline>
            </w:drawing>
          </mc:Choice>
          <mc:Fallback xmlns:a="http://schemas.openxmlformats.org/drawingml/2006/main">
            <w:pict>
              <v:group id="Group 35959" style="width:470.95pt;height:0.47998pt;mso-position-horizontal-relative:char;mso-position-vertical-relative:line" coordsize="59810,60">
                <v:shape id="Shape 37982" style="position:absolute;width:59810;height:91;left:0;top:0;" coordsize="5981065,9144" path="m0,0l5981065,0l5981065,9144l0,9144l0,0">
                  <v:stroke weight="0pt" endcap="flat" joinstyle="miter" miterlimit="10" on="false" color="#000000" opacity="0"/>
                  <v:fill on="true" color="#ffc000"/>
                </v:shape>
              </v:group>
            </w:pict>
          </mc:Fallback>
        </mc:AlternateContent>
      </w:r>
    </w:p>
    <w:tbl>
      <w:tblPr>
        <w:tblStyle w:val="TableGrid"/>
        <w:tblW w:w="9536" w:type="dxa"/>
        <w:tblInd w:w="6" w:type="dxa"/>
        <w:tblCellMar>
          <w:top w:w="82" w:type="dxa"/>
          <w:right w:w="81" w:type="dxa"/>
        </w:tblCellMar>
        <w:tblLook w:val="04A0" w:firstRow="1" w:lastRow="0" w:firstColumn="1" w:lastColumn="0" w:noHBand="0" w:noVBand="1"/>
      </w:tblPr>
      <w:tblGrid>
        <w:gridCol w:w="574"/>
        <w:gridCol w:w="829"/>
        <w:gridCol w:w="8133"/>
      </w:tblGrid>
      <w:tr w:rsidR="00736494" w14:paraId="41DB2647" w14:textId="77777777">
        <w:trPr>
          <w:trHeight w:val="2971"/>
        </w:trPr>
        <w:tc>
          <w:tcPr>
            <w:tcW w:w="574" w:type="dxa"/>
            <w:tcBorders>
              <w:top w:val="single" w:sz="4" w:space="0" w:color="000000"/>
              <w:left w:val="single" w:sz="4" w:space="0" w:color="000000"/>
              <w:bottom w:val="nil"/>
              <w:right w:val="single" w:sz="4" w:space="0" w:color="000000"/>
            </w:tcBorders>
            <w:shd w:val="clear" w:color="auto" w:fill="FFCCCC"/>
          </w:tcPr>
          <w:p w14:paraId="54ADDE83" w14:textId="77777777" w:rsidR="00736494" w:rsidRDefault="009156A5">
            <w:pPr>
              <w:ind w:left="202"/>
            </w:pPr>
            <w:r>
              <w:rPr>
                <w:noProof/>
              </w:rPr>
              <mc:AlternateContent>
                <mc:Choice Requires="wpg">
                  <w:drawing>
                    <wp:inline distT="0" distB="0" distL="0" distR="0" wp14:anchorId="0C82536E" wp14:editId="7EC754B6">
                      <wp:extent cx="135749" cy="978984"/>
                      <wp:effectExtent l="0" t="0" r="0" b="0"/>
                      <wp:docPr id="35354" name="Group 35354"/>
                      <wp:cNvGraphicFramePr/>
                      <a:graphic xmlns:a="http://schemas.openxmlformats.org/drawingml/2006/main">
                        <a:graphicData uri="http://schemas.microsoft.com/office/word/2010/wordprocessingGroup">
                          <wpg:wgp>
                            <wpg:cNvGrpSpPr/>
                            <wpg:grpSpPr>
                              <a:xfrm>
                                <a:off x="0" y="0"/>
                                <a:ext cx="135749" cy="978984"/>
                                <a:chOff x="0" y="0"/>
                                <a:chExt cx="135749" cy="978984"/>
                              </a:xfrm>
                            </wpg:grpSpPr>
                            <wps:wsp>
                              <wps:cNvPr id="4281" name="Rectangle 4281"/>
                              <wps:cNvSpPr/>
                              <wps:spPr>
                                <a:xfrm rot="-5399999">
                                  <a:off x="-543203" y="255234"/>
                                  <a:ext cx="1266955" cy="180547"/>
                                </a:xfrm>
                                <a:prstGeom prst="rect">
                                  <a:avLst/>
                                </a:prstGeom>
                                <a:ln>
                                  <a:noFill/>
                                </a:ln>
                              </wps:spPr>
                              <wps:txbx>
                                <w:txbxContent>
                                  <w:p w14:paraId="36A5EEBB" w14:textId="77777777" w:rsidR="00736494" w:rsidRDefault="009156A5">
                                    <w:r>
                                      <w:rPr>
                                        <w:rFonts w:ascii="Corbel" w:eastAsia="Corbel" w:hAnsi="Corbel" w:cs="Corbel"/>
                                        <w:b/>
                                        <w:color w:val="363636"/>
                                        <w:sz w:val="21"/>
                                      </w:rPr>
                                      <w:t>Other Resources</w:t>
                                    </w:r>
                                  </w:p>
                                </w:txbxContent>
                              </wps:txbx>
                              <wps:bodyPr horzOverflow="overflow" vert="horz" lIns="0" tIns="0" rIns="0" bIns="0" rtlCol="0">
                                <a:noAutofit/>
                              </wps:bodyPr>
                            </wps:wsp>
                            <wps:wsp>
                              <wps:cNvPr id="4282" name="Rectangle 4282"/>
                              <wps:cNvSpPr/>
                              <wps:spPr>
                                <a:xfrm rot="-5399999">
                                  <a:off x="71901" y="-81017"/>
                                  <a:ext cx="36744" cy="180546"/>
                                </a:xfrm>
                                <a:prstGeom prst="rect">
                                  <a:avLst/>
                                </a:prstGeom>
                                <a:ln>
                                  <a:noFill/>
                                </a:ln>
                              </wps:spPr>
                              <wps:txbx>
                                <w:txbxContent>
                                  <w:p w14:paraId="0618533A" w14:textId="77777777" w:rsidR="00736494" w:rsidRDefault="009156A5">
                                    <w:r>
                                      <w:rPr>
                                        <w:rFonts w:ascii="Corbel" w:eastAsia="Corbel" w:hAnsi="Corbel" w:cs="Corbel"/>
                                        <w:b/>
                                        <w:color w:val="363636"/>
                                        <w:sz w:val="2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5354" style="width:10.6889pt;height:77.0854pt;mso-position-horizontal-relative:char;mso-position-vertical-relative:line" coordsize="1357,9789">
                      <v:rect id="Rectangle 4281" style="position:absolute;width:12669;height:1805;left:-5432;top:2552;rotation:270;" filled="f" stroked="f">
                        <v:textbox inset="0,0,0,0" style="layout-flow:vertical;mso-layout-flow-alt:bottom-to-top">
                          <w:txbxContent>
                            <w:p>
                              <w:pPr>
                                <w:spacing w:before="0" w:after="160" w:line="259" w:lineRule="auto"/>
                              </w:pPr>
                              <w:r>
                                <w:rPr>
                                  <w:rFonts w:cs="Corbel" w:hAnsi="Corbel" w:eastAsia="Corbel" w:ascii="Corbel"/>
                                  <w:b w:val="1"/>
                                  <w:color w:val="363636"/>
                                  <w:sz w:val="21"/>
                                </w:rPr>
                                <w:t xml:space="preserve">Other Resources</w:t>
                              </w:r>
                            </w:p>
                          </w:txbxContent>
                        </v:textbox>
                      </v:rect>
                      <v:rect id="Rectangle 4282" style="position:absolute;width:367;height:1805;left:719;top:-810;rotation:270;" filled="f" stroked="f">
                        <v:textbox inset="0,0,0,0" style="layout-flow:vertical;mso-layout-flow-alt:bottom-to-top">
                          <w:txbxContent>
                            <w:p>
                              <w:pPr>
                                <w:spacing w:before="0" w:after="160" w:line="259" w:lineRule="auto"/>
                              </w:pPr>
                              <w:r>
                                <w:rPr>
                                  <w:rFonts w:cs="Corbel" w:hAnsi="Corbel" w:eastAsia="Corbel" w:ascii="Corbel"/>
                                  <w:b w:val="1"/>
                                  <w:color w:val="363636"/>
                                  <w:sz w:val="21"/>
                                </w:rPr>
                                <w:t xml:space="preserve"> </w:t>
                              </w:r>
                            </w:p>
                          </w:txbxContent>
                        </v:textbox>
                      </v:rect>
                    </v:group>
                  </w:pict>
                </mc:Fallback>
              </mc:AlternateContent>
            </w:r>
          </w:p>
        </w:tc>
        <w:tc>
          <w:tcPr>
            <w:tcW w:w="829" w:type="dxa"/>
            <w:tcBorders>
              <w:top w:val="single" w:sz="4" w:space="0" w:color="000000"/>
              <w:left w:val="single" w:sz="4" w:space="0" w:color="000000"/>
              <w:bottom w:val="nil"/>
              <w:right w:val="nil"/>
            </w:tcBorders>
          </w:tcPr>
          <w:p w14:paraId="2D3E240E" w14:textId="77777777" w:rsidR="00736494" w:rsidRDefault="009156A5">
            <w:pPr>
              <w:spacing w:after="352"/>
              <w:ind w:left="282"/>
              <w:jc w:val="center"/>
            </w:pPr>
            <w:r>
              <w:rPr>
                <w:rFonts w:ascii="Segoe UI Symbol" w:eastAsia="Segoe UI Symbol" w:hAnsi="Segoe UI Symbol" w:cs="Segoe UI Symbol"/>
                <w:color w:val="2C2C2C"/>
                <w:sz w:val="20"/>
              </w:rPr>
              <w:t>•</w:t>
            </w:r>
            <w:r>
              <w:rPr>
                <w:rFonts w:ascii="Arial" w:eastAsia="Arial" w:hAnsi="Arial" w:cs="Arial"/>
                <w:color w:val="2C2C2C"/>
                <w:sz w:val="20"/>
              </w:rPr>
              <w:t xml:space="preserve"> </w:t>
            </w:r>
          </w:p>
          <w:p w14:paraId="43F9E61B" w14:textId="77777777" w:rsidR="00736494" w:rsidRDefault="009156A5">
            <w:pPr>
              <w:spacing w:after="352"/>
              <w:ind w:left="282"/>
              <w:jc w:val="center"/>
            </w:pPr>
            <w:r>
              <w:rPr>
                <w:rFonts w:ascii="Segoe UI Symbol" w:eastAsia="Segoe UI Symbol" w:hAnsi="Segoe UI Symbol" w:cs="Segoe UI Symbol"/>
                <w:color w:val="2C2C2C"/>
                <w:sz w:val="20"/>
              </w:rPr>
              <w:t>•</w:t>
            </w:r>
            <w:r>
              <w:rPr>
                <w:rFonts w:ascii="Arial" w:eastAsia="Arial" w:hAnsi="Arial" w:cs="Arial"/>
                <w:color w:val="2C2C2C"/>
                <w:sz w:val="20"/>
              </w:rPr>
              <w:t xml:space="preserve"> </w:t>
            </w:r>
          </w:p>
          <w:p w14:paraId="64FD7C6A" w14:textId="77777777" w:rsidR="00736494" w:rsidRDefault="009156A5">
            <w:pPr>
              <w:spacing w:after="352"/>
              <w:ind w:left="282"/>
              <w:jc w:val="center"/>
            </w:pPr>
            <w:r>
              <w:rPr>
                <w:rFonts w:ascii="Segoe UI Symbol" w:eastAsia="Segoe UI Symbol" w:hAnsi="Segoe UI Symbol" w:cs="Segoe UI Symbol"/>
                <w:color w:val="2C2C2C"/>
                <w:sz w:val="20"/>
              </w:rPr>
              <w:t>•</w:t>
            </w:r>
            <w:r>
              <w:rPr>
                <w:rFonts w:ascii="Arial" w:eastAsia="Arial" w:hAnsi="Arial" w:cs="Arial"/>
                <w:color w:val="2C2C2C"/>
                <w:sz w:val="20"/>
              </w:rPr>
              <w:t xml:space="preserve"> </w:t>
            </w:r>
          </w:p>
          <w:p w14:paraId="6B9AC9D8" w14:textId="77777777" w:rsidR="00736494" w:rsidRDefault="009156A5">
            <w:pPr>
              <w:spacing w:after="353"/>
              <w:ind w:left="282"/>
              <w:jc w:val="center"/>
            </w:pPr>
            <w:r>
              <w:rPr>
                <w:rFonts w:ascii="Segoe UI Symbol" w:eastAsia="Segoe UI Symbol" w:hAnsi="Segoe UI Symbol" w:cs="Segoe UI Symbol"/>
                <w:color w:val="2C2C2C"/>
                <w:sz w:val="20"/>
              </w:rPr>
              <w:t>•</w:t>
            </w:r>
            <w:r>
              <w:rPr>
                <w:rFonts w:ascii="Arial" w:eastAsia="Arial" w:hAnsi="Arial" w:cs="Arial"/>
                <w:color w:val="2C2C2C"/>
                <w:sz w:val="20"/>
              </w:rPr>
              <w:t xml:space="preserve"> </w:t>
            </w:r>
          </w:p>
          <w:p w14:paraId="2C3E4D6B" w14:textId="77777777" w:rsidR="00736494" w:rsidRDefault="009156A5">
            <w:pPr>
              <w:ind w:left="282"/>
              <w:jc w:val="center"/>
            </w:pPr>
            <w:r>
              <w:rPr>
                <w:rFonts w:ascii="Segoe UI Symbol" w:eastAsia="Segoe UI Symbol" w:hAnsi="Segoe UI Symbol" w:cs="Segoe UI Symbol"/>
                <w:color w:val="2C2C2C"/>
                <w:sz w:val="20"/>
              </w:rPr>
              <w:t>•</w:t>
            </w:r>
            <w:r>
              <w:rPr>
                <w:rFonts w:ascii="Arial" w:eastAsia="Arial" w:hAnsi="Arial" w:cs="Arial"/>
                <w:color w:val="2C2C2C"/>
                <w:sz w:val="20"/>
              </w:rPr>
              <w:t xml:space="preserve"> </w:t>
            </w:r>
          </w:p>
        </w:tc>
        <w:tc>
          <w:tcPr>
            <w:tcW w:w="8133" w:type="dxa"/>
            <w:tcBorders>
              <w:top w:val="single" w:sz="4" w:space="0" w:color="000000"/>
              <w:left w:val="nil"/>
              <w:bottom w:val="nil"/>
              <w:right w:val="single" w:sz="4" w:space="0" w:color="000000"/>
            </w:tcBorders>
          </w:tcPr>
          <w:p w14:paraId="6D2CD5B7" w14:textId="77777777" w:rsidR="00736494" w:rsidRDefault="009156A5">
            <w:pPr>
              <w:spacing w:after="120" w:line="239" w:lineRule="auto"/>
            </w:pPr>
            <w:r>
              <w:rPr>
                <w:rFonts w:ascii="Corbel" w:eastAsia="Corbel" w:hAnsi="Corbel" w:cs="Corbel"/>
                <w:color w:val="2C2C2C"/>
                <w:sz w:val="21"/>
                <w:u w:val="single" w:color="2C2C2C"/>
              </w:rPr>
              <w:t>The ABCs of ADUs, A guide to Accessory Dwelling Units and how they expand housing</w:t>
            </w:r>
            <w:r>
              <w:rPr>
                <w:rFonts w:ascii="Corbel" w:eastAsia="Corbel" w:hAnsi="Corbel" w:cs="Corbel"/>
                <w:color w:val="2C2C2C"/>
                <w:sz w:val="21"/>
              </w:rPr>
              <w:t xml:space="preserve"> </w:t>
            </w:r>
            <w:r>
              <w:rPr>
                <w:rFonts w:ascii="Corbel" w:eastAsia="Corbel" w:hAnsi="Corbel" w:cs="Corbel"/>
                <w:color w:val="2C2C2C"/>
                <w:sz w:val="21"/>
                <w:u w:val="single" w:color="2C2C2C"/>
              </w:rPr>
              <w:t>options for people of all ages</w:t>
            </w:r>
            <w:r>
              <w:rPr>
                <w:rFonts w:ascii="Corbel" w:eastAsia="Corbel" w:hAnsi="Corbel" w:cs="Corbel"/>
                <w:color w:val="2C2C2C"/>
                <w:sz w:val="21"/>
              </w:rPr>
              <w:t>, AARP, 2021 (</w:t>
            </w:r>
            <w:r>
              <w:rPr>
                <w:rFonts w:ascii="Corbel" w:eastAsia="Corbel" w:hAnsi="Corbel" w:cs="Corbel"/>
                <w:i/>
                <w:color w:val="2C2C2C"/>
                <w:sz w:val="21"/>
              </w:rPr>
              <w:t>containing many photo examples of ADU’s</w:t>
            </w:r>
            <w:r>
              <w:rPr>
                <w:rFonts w:ascii="Corbel" w:eastAsia="Corbel" w:hAnsi="Corbel" w:cs="Corbel"/>
                <w:color w:val="2C2C2C"/>
                <w:sz w:val="21"/>
              </w:rPr>
              <w:t xml:space="preserve">) </w:t>
            </w:r>
          </w:p>
          <w:p w14:paraId="6C0FB122" w14:textId="77777777" w:rsidR="00736494" w:rsidRDefault="009156A5">
            <w:pPr>
              <w:spacing w:after="120" w:line="239" w:lineRule="auto"/>
            </w:pPr>
            <w:r>
              <w:rPr>
                <w:rFonts w:ascii="Corbel" w:eastAsia="Corbel" w:hAnsi="Corbel" w:cs="Corbel"/>
                <w:color w:val="2C2C2C"/>
                <w:sz w:val="21"/>
                <w:u w:val="single" w:color="2C2C2C"/>
              </w:rPr>
              <w:t>Accessory Dwelling Unit Policy Task Force Final</w:t>
            </w:r>
            <w:r>
              <w:rPr>
                <w:rFonts w:ascii="Corbel" w:eastAsia="Corbel" w:hAnsi="Corbel" w:cs="Corbel"/>
                <w:color w:val="2C2C2C"/>
                <w:sz w:val="21"/>
              </w:rPr>
              <w:t xml:space="preserve"> Report, May 31, 2024, Maryland Department of Planning.  </w:t>
            </w:r>
          </w:p>
          <w:p w14:paraId="310B55AC" w14:textId="77777777" w:rsidR="00736494" w:rsidRDefault="009156A5">
            <w:pPr>
              <w:spacing w:after="120" w:line="239" w:lineRule="auto"/>
              <w:jc w:val="both"/>
            </w:pPr>
            <w:r>
              <w:rPr>
                <w:rFonts w:ascii="Corbel" w:eastAsia="Corbel" w:hAnsi="Corbel" w:cs="Corbel"/>
                <w:color w:val="2C2C2C"/>
                <w:sz w:val="21"/>
                <w:u w:val="single" w:color="2C2C2C"/>
              </w:rPr>
              <w:t>Accessory Dwelling Units, Model State Act and Local Ordinance</w:t>
            </w:r>
            <w:r>
              <w:rPr>
                <w:rFonts w:ascii="Corbel" w:eastAsia="Corbel" w:hAnsi="Corbel" w:cs="Corbel"/>
                <w:color w:val="2C2C2C"/>
                <w:sz w:val="21"/>
              </w:rPr>
              <w:t xml:space="preserve">, ©2020-2021 by AARP, available at </w:t>
            </w:r>
            <w:r>
              <w:rPr>
                <w:rFonts w:ascii="Corbel" w:eastAsia="Corbel" w:hAnsi="Corbel" w:cs="Corbel"/>
                <w:i/>
                <w:color w:val="2C2C2C"/>
                <w:sz w:val="21"/>
                <w:u w:val="single" w:color="2C2C2C"/>
              </w:rPr>
              <w:t>AARP.org/ADUs</w:t>
            </w:r>
            <w:r>
              <w:rPr>
                <w:rFonts w:ascii="Corbel" w:eastAsia="Corbel" w:hAnsi="Corbel" w:cs="Corbel"/>
                <w:color w:val="2C2C2C"/>
                <w:sz w:val="21"/>
              </w:rPr>
              <w:t xml:space="preserve"> </w:t>
            </w:r>
          </w:p>
          <w:p w14:paraId="1AE265C1" w14:textId="77777777" w:rsidR="00736494" w:rsidRDefault="009156A5">
            <w:pPr>
              <w:spacing w:after="121" w:line="239" w:lineRule="auto"/>
            </w:pPr>
            <w:hyperlink r:id="rId31">
              <w:r>
                <w:rPr>
                  <w:rFonts w:ascii="Corbel" w:eastAsia="Corbel" w:hAnsi="Corbel" w:cs="Corbel"/>
                  <w:color w:val="2C2C2C"/>
                  <w:sz w:val="21"/>
                  <w:u w:val="single" w:color="2C2C2C"/>
                </w:rPr>
                <w:t>Expanding ADU Development and Occupancy: Solutions for Removing Local Barriers to ADU</w:t>
              </w:r>
            </w:hyperlink>
            <w:hyperlink r:id="rId32">
              <w:r>
                <w:rPr>
                  <w:rFonts w:ascii="Corbel" w:eastAsia="Corbel" w:hAnsi="Corbel" w:cs="Corbel"/>
                  <w:color w:val="2C2C2C"/>
                  <w:sz w:val="21"/>
                </w:rPr>
                <w:t xml:space="preserve"> </w:t>
              </w:r>
            </w:hyperlink>
            <w:hyperlink r:id="rId33">
              <w:r>
                <w:rPr>
                  <w:rFonts w:ascii="Corbel" w:eastAsia="Corbel" w:hAnsi="Corbel" w:cs="Corbel"/>
                  <w:color w:val="2C2C2C"/>
                  <w:sz w:val="21"/>
                  <w:u w:val="single" w:color="2C2C2C"/>
                </w:rPr>
                <w:t>Construction</w:t>
              </w:r>
            </w:hyperlink>
            <w:hyperlink r:id="rId34">
              <w:r>
                <w:rPr>
                  <w:rFonts w:ascii="Corbel" w:eastAsia="Corbel" w:hAnsi="Corbel" w:cs="Corbel"/>
                  <w:color w:val="2C2C2C"/>
                  <w:sz w:val="21"/>
                </w:rPr>
                <w:t>,</w:t>
              </w:r>
            </w:hyperlink>
            <w:r>
              <w:rPr>
                <w:rFonts w:ascii="Corbel" w:eastAsia="Corbel" w:hAnsi="Corbel" w:cs="Corbel"/>
                <w:color w:val="2C2C2C"/>
                <w:sz w:val="21"/>
              </w:rPr>
              <w:t xml:space="preserve"> ©2023 by AARP. </w:t>
            </w:r>
          </w:p>
          <w:p w14:paraId="7A664E6A" w14:textId="77777777" w:rsidR="00736494" w:rsidRDefault="009156A5">
            <w:hyperlink r:id="rId35">
              <w:r>
                <w:rPr>
                  <w:rFonts w:ascii="Corbel" w:eastAsia="Corbel" w:hAnsi="Corbel" w:cs="Corbel"/>
                  <w:color w:val="2C2C2C"/>
                  <w:sz w:val="21"/>
                  <w:u w:val="single" w:color="2C2C2C"/>
                </w:rPr>
                <w:t>Inventory</w:t>
              </w:r>
            </w:hyperlink>
            <w:hyperlink r:id="rId36">
              <w:r>
                <w:rPr>
                  <w:rFonts w:ascii="Corbel" w:eastAsia="Corbel" w:hAnsi="Corbel" w:cs="Corbel"/>
                  <w:color w:val="2C2C2C"/>
                  <w:sz w:val="21"/>
                  <w:u w:val="single" w:color="2C2C2C"/>
                </w:rPr>
                <w:t>-</w:t>
              </w:r>
            </w:hyperlink>
            <w:hyperlink r:id="rId37">
              <w:r>
                <w:rPr>
                  <w:rFonts w:ascii="Corbel" w:eastAsia="Corbel" w:hAnsi="Corbel" w:cs="Corbel"/>
                  <w:color w:val="2C2C2C"/>
                  <w:sz w:val="21"/>
                  <w:u w:val="single" w:color="2C2C2C"/>
                </w:rPr>
                <w:t>of</w:t>
              </w:r>
            </w:hyperlink>
            <w:hyperlink r:id="rId38">
              <w:r>
                <w:rPr>
                  <w:rFonts w:ascii="Corbel" w:eastAsia="Corbel" w:hAnsi="Corbel" w:cs="Corbel"/>
                  <w:color w:val="2C2C2C"/>
                  <w:sz w:val="21"/>
                  <w:u w:val="single" w:color="2C2C2C"/>
                </w:rPr>
                <w:t>-</w:t>
              </w:r>
            </w:hyperlink>
            <w:hyperlink r:id="rId39">
              <w:r>
                <w:rPr>
                  <w:rFonts w:ascii="Corbel" w:eastAsia="Corbel" w:hAnsi="Corbel" w:cs="Corbel"/>
                  <w:color w:val="2C2C2C"/>
                  <w:sz w:val="21"/>
                  <w:u w:val="single" w:color="2C2C2C"/>
                </w:rPr>
                <w:t>ADU</w:t>
              </w:r>
            </w:hyperlink>
            <w:hyperlink r:id="rId40">
              <w:r>
                <w:rPr>
                  <w:rFonts w:ascii="Corbel" w:eastAsia="Corbel" w:hAnsi="Corbel" w:cs="Corbel"/>
                  <w:color w:val="2C2C2C"/>
                  <w:sz w:val="21"/>
                  <w:u w:val="single" w:color="2C2C2C"/>
                </w:rPr>
                <w:t>-</w:t>
              </w:r>
            </w:hyperlink>
            <w:hyperlink r:id="rId41">
              <w:r>
                <w:rPr>
                  <w:rFonts w:ascii="Corbel" w:eastAsia="Corbel" w:hAnsi="Corbel" w:cs="Corbel"/>
                  <w:color w:val="2C2C2C"/>
                  <w:sz w:val="21"/>
                  <w:u w:val="single" w:color="2C2C2C"/>
                </w:rPr>
                <w:t>Ordinances</w:t>
              </w:r>
            </w:hyperlink>
            <w:hyperlink r:id="rId42">
              <w:r>
                <w:rPr>
                  <w:rFonts w:ascii="Corbel" w:eastAsia="Corbel" w:hAnsi="Corbel" w:cs="Corbel"/>
                  <w:color w:val="2C2C2C"/>
                  <w:sz w:val="21"/>
                  <w:u w:val="single" w:color="2C2C2C"/>
                </w:rPr>
                <w:t>-</w:t>
              </w:r>
            </w:hyperlink>
            <w:hyperlink r:id="rId43">
              <w:r>
                <w:rPr>
                  <w:rFonts w:ascii="Corbel" w:eastAsia="Corbel" w:hAnsi="Corbel" w:cs="Corbel"/>
                  <w:color w:val="2C2C2C"/>
                  <w:sz w:val="21"/>
                  <w:u w:val="single" w:color="2C2C2C"/>
                </w:rPr>
                <w:t>For Website.pdf</w:t>
              </w:r>
            </w:hyperlink>
            <w:hyperlink r:id="rId44">
              <w:r>
                <w:rPr>
                  <w:rFonts w:ascii="Corbel" w:eastAsia="Corbel" w:hAnsi="Corbel" w:cs="Corbel"/>
                  <w:color w:val="2C2C2C"/>
                  <w:sz w:val="21"/>
                </w:rPr>
                <w:t>,</w:t>
              </w:r>
            </w:hyperlink>
            <w:r>
              <w:rPr>
                <w:rFonts w:ascii="Corbel" w:eastAsia="Corbel" w:hAnsi="Corbel" w:cs="Corbel"/>
                <w:color w:val="2C2C2C"/>
                <w:sz w:val="21"/>
              </w:rPr>
              <w:t xml:space="preserve"> Maryland Department of Planning. </w:t>
            </w:r>
          </w:p>
        </w:tc>
      </w:tr>
      <w:tr w:rsidR="00736494" w14:paraId="0905AA09" w14:textId="77777777">
        <w:trPr>
          <w:trHeight w:val="931"/>
        </w:trPr>
        <w:tc>
          <w:tcPr>
            <w:tcW w:w="574" w:type="dxa"/>
            <w:tcBorders>
              <w:top w:val="nil"/>
              <w:left w:val="single" w:sz="4" w:space="0" w:color="000000"/>
              <w:bottom w:val="single" w:sz="4" w:space="0" w:color="000000"/>
              <w:right w:val="single" w:sz="4" w:space="0" w:color="000000"/>
            </w:tcBorders>
            <w:shd w:val="clear" w:color="auto" w:fill="FFCCCC"/>
          </w:tcPr>
          <w:p w14:paraId="0F584FAE" w14:textId="77777777" w:rsidR="00736494" w:rsidRDefault="00736494"/>
        </w:tc>
        <w:tc>
          <w:tcPr>
            <w:tcW w:w="829" w:type="dxa"/>
            <w:tcBorders>
              <w:top w:val="nil"/>
              <w:left w:val="single" w:sz="4" w:space="0" w:color="000000"/>
              <w:bottom w:val="single" w:sz="4" w:space="0" w:color="000000"/>
              <w:right w:val="nil"/>
            </w:tcBorders>
          </w:tcPr>
          <w:p w14:paraId="49F5908A" w14:textId="77777777" w:rsidR="00736494" w:rsidRDefault="009156A5">
            <w:pPr>
              <w:spacing w:after="348"/>
              <w:ind w:left="282"/>
              <w:jc w:val="center"/>
            </w:pPr>
            <w:r>
              <w:rPr>
                <w:rFonts w:ascii="Segoe UI Symbol" w:eastAsia="Segoe UI Symbol" w:hAnsi="Segoe UI Symbol" w:cs="Segoe UI Symbol"/>
                <w:color w:val="363636"/>
                <w:sz w:val="20"/>
              </w:rPr>
              <w:t>•</w:t>
            </w:r>
            <w:r>
              <w:rPr>
                <w:rFonts w:ascii="Arial" w:eastAsia="Arial" w:hAnsi="Arial" w:cs="Arial"/>
                <w:color w:val="363636"/>
                <w:sz w:val="20"/>
              </w:rPr>
              <w:t xml:space="preserve"> </w:t>
            </w:r>
          </w:p>
          <w:p w14:paraId="6CB6DF2A" w14:textId="77777777" w:rsidR="00736494" w:rsidRDefault="009156A5">
            <w:pPr>
              <w:ind w:left="109"/>
            </w:pPr>
            <w:r>
              <w:rPr>
                <w:rFonts w:ascii="Corbel" w:eastAsia="Corbel" w:hAnsi="Corbel" w:cs="Corbel"/>
                <w:color w:val="363636"/>
                <w:sz w:val="21"/>
              </w:rPr>
              <w:t xml:space="preserve"> </w:t>
            </w:r>
          </w:p>
        </w:tc>
        <w:tc>
          <w:tcPr>
            <w:tcW w:w="8133" w:type="dxa"/>
            <w:tcBorders>
              <w:top w:val="nil"/>
              <w:left w:val="nil"/>
              <w:bottom w:val="single" w:sz="4" w:space="0" w:color="000000"/>
              <w:right w:val="single" w:sz="4" w:space="0" w:color="000000"/>
            </w:tcBorders>
          </w:tcPr>
          <w:p w14:paraId="3E9C30B7" w14:textId="77777777" w:rsidR="00736494" w:rsidRDefault="009156A5">
            <w:r>
              <w:rPr>
                <w:rFonts w:ascii="Corbel" w:eastAsia="Corbel" w:hAnsi="Corbel" w:cs="Corbel"/>
                <w:sz w:val="21"/>
                <w:u w:val="single" w:color="000000"/>
              </w:rPr>
              <w:t>A Taxonomy of State Accessory Dwelling Unit Laws 2025 | Mercatus Center</w:t>
            </w:r>
            <w:r>
              <w:rPr>
                <w:rFonts w:ascii="Corbel" w:eastAsia="Corbel" w:hAnsi="Corbel" w:cs="Corbel"/>
                <w:sz w:val="21"/>
              </w:rPr>
              <w:t>, George Washington University, Emily Hamilton and Kol Peterson, Aug. 2025.</w:t>
            </w:r>
            <w:r>
              <w:rPr>
                <w:rFonts w:ascii="Corbel" w:eastAsia="Corbel" w:hAnsi="Corbel" w:cs="Corbel"/>
                <w:color w:val="363636"/>
                <w:sz w:val="21"/>
              </w:rPr>
              <w:t xml:space="preserve"> </w:t>
            </w:r>
          </w:p>
        </w:tc>
      </w:tr>
    </w:tbl>
    <w:p w14:paraId="3958CEAC" w14:textId="77777777" w:rsidR="00736494" w:rsidRDefault="009156A5">
      <w:pPr>
        <w:spacing w:after="125"/>
      </w:pPr>
      <w:r>
        <w:rPr>
          <w:rFonts w:ascii="Corbel" w:eastAsia="Corbel" w:hAnsi="Corbel" w:cs="Corbel"/>
          <w:sz w:val="21"/>
        </w:rPr>
        <w:t xml:space="preserve"> </w:t>
      </w:r>
    </w:p>
    <w:p w14:paraId="1EFD6731" w14:textId="77777777" w:rsidR="00736494" w:rsidRDefault="009156A5">
      <w:pPr>
        <w:spacing w:after="125"/>
      </w:pPr>
      <w:r>
        <w:rPr>
          <w:rFonts w:ascii="Corbel" w:eastAsia="Corbel" w:hAnsi="Corbel" w:cs="Corbel"/>
          <w:sz w:val="21"/>
        </w:rPr>
        <w:t xml:space="preserve"> </w:t>
      </w:r>
    </w:p>
    <w:p w14:paraId="7A6C79F2" w14:textId="77777777" w:rsidR="00736494" w:rsidRDefault="009156A5">
      <w:pPr>
        <w:spacing w:after="0"/>
      </w:pPr>
      <w:r>
        <w:rPr>
          <w:noProof/>
        </w:rPr>
        <mc:AlternateContent>
          <mc:Choice Requires="wpg">
            <w:drawing>
              <wp:inline distT="0" distB="0" distL="0" distR="0" wp14:anchorId="4009BB56" wp14:editId="50649766">
                <wp:extent cx="1829054" cy="6096"/>
                <wp:effectExtent l="0" t="0" r="0" b="0"/>
                <wp:docPr id="35960" name="Group 35960"/>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37983" name="Shape 37983"/>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5960" style="width:144.02pt;height:0.480011pt;mso-position-horizontal-relative:char;mso-position-vertical-relative:line" coordsize="18290,60">
                <v:shape id="Shape 37984"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rFonts w:ascii="Corbel" w:eastAsia="Corbel" w:hAnsi="Corbel" w:cs="Corbel"/>
          <w:sz w:val="21"/>
        </w:rPr>
        <w:t xml:space="preserve"> </w:t>
      </w:r>
    </w:p>
    <w:p w14:paraId="2E8F2D21" w14:textId="77777777" w:rsidR="00736494" w:rsidRDefault="009156A5">
      <w:pPr>
        <w:spacing w:after="4" w:line="255" w:lineRule="auto"/>
        <w:ind w:left="-5" w:right="68" w:hanging="10"/>
      </w:pPr>
      <w:proofErr w:type="spellStart"/>
      <w:r>
        <w:rPr>
          <w:rFonts w:ascii="Corbel" w:eastAsia="Corbel" w:hAnsi="Corbel" w:cs="Corbel"/>
          <w:sz w:val="20"/>
          <w:vertAlign w:val="superscript"/>
        </w:rPr>
        <w:t>i</w:t>
      </w:r>
      <w:proofErr w:type="spellEnd"/>
      <w:r>
        <w:rPr>
          <w:rFonts w:ascii="Corbel" w:eastAsia="Corbel" w:hAnsi="Corbel" w:cs="Corbel"/>
          <w:sz w:val="20"/>
        </w:rPr>
        <w:t xml:space="preserve"> </w:t>
      </w:r>
      <w:r>
        <w:rPr>
          <w:rFonts w:ascii="Corbel" w:eastAsia="Corbel" w:hAnsi="Corbel" w:cs="Corbel"/>
          <w:sz w:val="20"/>
          <w:u w:val="single" w:color="000000"/>
        </w:rPr>
        <w:t>A Taxonomy of State Accessory Dwelling Unit Laws 2025 | Mercatus Center</w:t>
      </w:r>
      <w:r>
        <w:rPr>
          <w:rFonts w:ascii="Corbel" w:eastAsia="Corbel" w:hAnsi="Corbel" w:cs="Corbel"/>
          <w:sz w:val="20"/>
        </w:rPr>
        <w:t xml:space="preserve">, George Washington University, Emily Hamilton and Kol Peterson, Aug. 2025. </w:t>
      </w:r>
      <w:r>
        <w:rPr>
          <w:rFonts w:ascii="Corbel" w:eastAsia="Corbel" w:hAnsi="Corbel" w:cs="Corbel"/>
          <w:sz w:val="20"/>
          <w:vertAlign w:val="superscript"/>
        </w:rPr>
        <w:t>ii</w:t>
      </w:r>
      <w:r>
        <w:rPr>
          <w:rFonts w:ascii="Corbel" w:eastAsia="Corbel" w:hAnsi="Corbel" w:cs="Corbel"/>
          <w:sz w:val="20"/>
        </w:rPr>
        <w:t xml:space="preserve"> </w:t>
      </w:r>
      <w:r>
        <w:rPr>
          <w:rFonts w:ascii="Corbel" w:eastAsia="Corbel" w:hAnsi="Corbel" w:cs="Corbel"/>
          <w:sz w:val="20"/>
          <w:u w:val="single" w:color="000000"/>
        </w:rPr>
        <w:t>The ABCs of ADUs, A guide to Accessory Dwelling Units and how they expand housing options for people of all</w:t>
      </w:r>
      <w:r>
        <w:rPr>
          <w:rFonts w:ascii="Corbel" w:eastAsia="Corbel" w:hAnsi="Corbel" w:cs="Corbel"/>
          <w:sz w:val="20"/>
        </w:rPr>
        <w:t xml:space="preserve"> </w:t>
      </w:r>
      <w:r>
        <w:rPr>
          <w:rFonts w:ascii="Corbel" w:eastAsia="Corbel" w:hAnsi="Corbel" w:cs="Corbel"/>
          <w:sz w:val="20"/>
          <w:u w:val="single" w:color="000000"/>
        </w:rPr>
        <w:t>ages</w:t>
      </w:r>
      <w:r>
        <w:rPr>
          <w:rFonts w:ascii="Corbel" w:eastAsia="Corbel" w:hAnsi="Corbel" w:cs="Corbel"/>
          <w:sz w:val="20"/>
        </w:rPr>
        <w:t xml:space="preserve">, AARP, 2021 </w:t>
      </w:r>
      <w:r>
        <w:rPr>
          <w:rFonts w:ascii="Corbel" w:eastAsia="Corbel" w:hAnsi="Corbel" w:cs="Corbel"/>
          <w:sz w:val="20"/>
          <w:vertAlign w:val="superscript"/>
        </w:rPr>
        <w:t>iii</w:t>
      </w:r>
      <w:r>
        <w:rPr>
          <w:rFonts w:ascii="Corbel" w:eastAsia="Corbel" w:hAnsi="Corbel" w:cs="Corbel"/>
          <w:sz w:val="20"/>
        </w:rPr>
        <w:t xml:space="preserve"> </w:t>
      </w:r>
      <w:r>
        <w:rPr>
          <w:rFonts w:ascii="Corbel" w:eastAsia="Corbel" w:hAnsi="Corbel" w:cs="Corbel"/>
          <w:sz w:val="20"/>
          <w:u w:val="single" w:color="000000"/>
        </w:rPr>
        <w:t>Accessory Dwelling Unit Policy Task Force, Final Report</w:t>
      </w:r>
      <w:r>
        <w:rPr>
          <w:rFonts w:ascii="Corbel" w:eastAsia="Corbel" w:hAnsi="Corbel" w:cs="Corbel"/>
          <w:sz w:val="20"/>
        </w:rPr>
        <w:t xml:space="preserve">, May 31, 2024, Maryland Department of Planning, page 19. </w:t>
      </w:r>
    </w:p>
    <w:p w14:paraId="45C31A56" w14:textId="77777777" w:rsidR="00736494" w:rsidRDefault="009156A5">
      <w:pPr>
        <w:spacing w:after="4" w:line="255" w:lineRule="auto"/>
        <w:ind w:left="-5" w:right="68" w:hanging="10"/>
      </w:pPr>
      <w:r>
        <w:rPr>
          <w:rFonts w:ascii="Corbel" w:eastAsia="Corbel" w:hAnsi="Corbel" w:cs="Corbel"/>
          <w:sz w:val="20"/>
          <w:vertAlign w:val="superscript"/>
        </w:rPr>
        <w:t>iv</w:t>
      </w:r>
      <w:r>
        <w:rPr>
          <w:rFonts w:ascii="Corbel" w:eastAsia="Corbel" w:hAnsi="Corbel" w:cs="Corbel"/>
          <w:sz w:val="20"/>
        </w:rPr>
        <w:t xml:space="preserve"> </w:t>
      </w:r>
      <w:r>
        <w:rPr>
          <w:rFonts w:ascii="Corbel" w:eastAsia="Corbel" w:hAnsi="Corbel" w:cs="Corbel"/>
          <w:sz w:val="20"/>
          <w:u w:val="single" w:color="000000"/>
        </w:rPr>
        <w:t>AARP – Accessory Dwelling Units:  Model State Act and Local Ordinance</w:t>
      </w:r>
      <w:r>
        <w:rPr>
          <w:rFonts w:ascii="Corbel" w:eastAsia="Corbel" w:hAnsi="Corbel" w:cs="Corbel"/>
          <w:sz w:val="20"/>
        </w:rPr>
        <w:t xml:space="preserve">, page 19. </w:t>
      </w:r>
    </w:p>
    <w:sectPr w:rsidR="00736494">
      <w:headerReference w:type="even" r:id="rId45"/>
      <w:headerReference w:type="default" r:id="rId46"/>
      <w:footerReference w:type="even" r:id="rId47"/>
      <w:footerReference w:type="default" r:id="rId48"/>
      <w:headerReference w:type="first" r:id="rId49"/>
      <w:footerReference w:type="first" r:id="rId50"/>
      <w:pgSz w:w="12240" w:h="15840"/>
      <w:pgMar w:top="1536" w:right="1446" w:bottom="31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6674F" w14:textId="77777777" w:rsidR="00336CA4" w:rsidRDefault="00336CA4">
      <w:pPr>
        <w:spacing w:after="0" w:line="240" w:lineRule="auto"/>
      </w:pPr>
      <w:r>
        <w:separator/>
      </w:r>
    </w:p>
  </w:endnote>
  <w:endnote w:type="continuationSeparator" w:id="0">
    <w:p w14:paraId="74FFA41B" w14:textId="77777777" w:rsidR="00336CA4" w:rsidRDefault="00336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sto MT">
    <w:panose1 w:val="020406030505050303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ABD8C" w14:textId="77777777" w:rsidR="00736494" w:rsidRDefault="009156A5">
    <w:pPr>
      <w:spacing w:after="102"/>
      <w:ind w:right="2"/>
      <w:jc w:val="center"/>
    </w:pPr>
    <w:r>
      <w:rPr>
        <w:noProof/>
      </w:rPr>
      <w:drawing>
        <wp:anchor distT="0" distB="0" distL="114300" distR="114300" simplePos="0" relativeHeight="251658240" behindDoc="0" locked="0" layoutInCell="1" allowOverlap="0" wp14:anchorId="72CBB740" wp14:editId="0C4203C5">
          <wp:simplePos x="0" y="0"/>
          <wp:positionH relativeFrom="page">
            <wp:posOffset>3131821</wp:posOffset>
          </wp:positionH>
          <wp:positionV relativeFrom="page">
            <wp:posOffset>8955849</wp:posOffset>
          </wp:positionV>
          <wp:extent cx="1607820" cy="401955"/>
          <wp:effectExtent l="0" t="0" r="0" b="0"/>
          <wp:wrapSquare wrapText="bothSides"/>
          <wp:docPr id="77"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
                  <a:stretch>
                    <a:fillRect/>
                  </a:stretch>
                </pic:blipFill>
                <pic:spPr>
                  <a:xfrm>
                    <a:off x="0" y="0"/>
                    <a:ext cx="1607820" cy="401955"/>
                  </a:xfrm>
                  <a:prstGeom prst="rect">
                    <a:avLst/>
                  </a:prstGeom>
                </pic:spPr>
              </pic:pic>
            </a:graphicData>
          </a:graphic>
        </wp:anchor>
      </w:drawing>
    </w:r>
    <w:r>
      <w:rPr>
        <w:rFonts w:ascii="Century Gothic" w:eastAsia="Century Gothic" w:hAnsi="Century Gothic" w:cs="Century Gothic"/>
        <w:color w:val="7F7F7F"/>
        <w:sz w:val="14"/>
      </w:rPr>
      <w:t xml:space="preserve">1502 Vine Street, 3rd Floor  </w:t>
    </w:r>
  </w:p>
  <w:p w14:paraId="0CE67E4D" w14:textId="77777777" w:rsidR="00736494" w:rsidRDefault="009156A5">
    <w:pPr>
      <w:tabs>
        <w:tab w:val="center" w:pos="4681"/>
      </w:tabs>
      <w:spacing w:after="0"/>
    </w:pPr>
    <w:r>
      <w:rPr>
        <w:rFonts w:ascii="Century Gothic" w:eastAsia="Century Gothic" w:hAnsi="Century Gothic" w:cs="Century Gothic"/>
        <w:color w:val="7F7F7F"/>
        <w:sz w:val="14"/>
      </w:rPr>
      <w:t xml:space="preserve"> </w:t>
    </w:r>
    <w:r>
      <w:rPr>
        <w:rFonts w:ascii="Century Gothic" w:eastAsia="Century Gothic" w:hAnsi="Century Gothic" w:cs="Century Gothic"/>
        <w:color w:val="7F7F7F"/>
        <w:sz w:val="14"/>
      </w:rPr>
      <w:tab/>
      <w:t>Cincinnati, Ohio 45202</w:t>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B48A" w14:textId="77777777" w:rsidR="00736494" w:rsidRDefault="009156A5">
    <w:pPr>
      <w:spacing w:after="102"/>
      <w:ind w:right="2"/>
      <w:jc w:val="center"/>
    </w:pPr>
    <w:r>
      <w:rPr>
        <w:noProof/>
      </w:rPr>
      <w:drawing>
        <wp:anchor distT="0" distB="0" distL="114300" distR="114300" simplePos="0" relativeHeight="251658241" behindDoc="0" locked="0" layoutInCell="1" allowOverlap="0" wp14:anchorId="5B97573C" wp14:editId="57FA7B40">
          <wp:simplePos x="0" y="0"/>
          <wp:positionH relativeFrom="page">
            <wp:posOffset>3131821</wp:posOffset>
          </wp:positionH>
          <wp:positionV relativeFrom="page">
            <wp:posOffset>8955849</wp:posOffset>
          </wp:positionV>
          <wp:extent cx="1607820" cy="401955"/>
          <wp:effectExtent l="0" t="0" r="0" b="0"/>
          <wp:wrapSquare wrapText="bothSides"/>
          <wp:docPr id="1968280952" name="Picture 1968280952"/>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
                  <a:stretch>
                    <a:fillRect/>
                  </a:stretch>
                </pic:blipFill>
                <pic:spPr>
                  <a:xfrm>
                    <a:off x="0" y="0"/>
                    <a:ext cx="1607820" cy="401955"/>
                  </a:xfrm>
                  <a:prstGeom prst="rect">
                    <a:avLst/>
                  </a:prstGeom>
                </pic:spPr>
              </pic:pic>
            </a:graphicData>
          </a:graphic>
        </wp:anchor>
      </w:drawing>
    </w:r>
    <w:r>
      <w:rPr>
        <w:rFonts w:ascii="Century Gothic" w:eastAsia="Century Gothic" w:hAnsi="Century Gothic" w:cs="Century Gothic"/>
        <w:color w:val="7F7F7F"/>
        <w:sz w:val="14"/>
      </w:rPr>
      <w:t xml:space="preserve">1502 Vine Street, 3rd Floor  </w:t>
    </w:r>
  </w:p>
  <w:p w14:paraId="41CD09B8" w14:textId="77777777" w:rsidR="00736494" w:rsidRDefault="009156A5">
    <w:pPr>
      <w:tabs>
        <w:tab w:val="center" w:pos="4681"/>
      </w:tabs>
      <w:spacing w:after="0"/>
    </w:pPr>
    <w:r>
      <w:rPr>
        <w:rFonts w:ascii="Century Gothic" w:eastAsia="Century Gothic" w:hAnsi="Century Gothic" w:cs="Century Gothic"/>
        <w:color w:val="7F7F7F"/>
        <w:sz w:val="14"/>
      </w:rPr>
      <w:t xml:space="preserve"> </w:t>
    </w:r>
    <w:r>
      <w:rPr>
        <w:rFonts w:ascii="Century Gothic" w:eastAsia="Century Gothic" w:hAnsi="Century Gothic" w:cs="Century Gothic"/>
        <w:color w:val="7F7F7F"/>
        <w:sz w:val="14"/>
      </w:rPr>
      <w:tab/>
      <w:t>Cincinnati, Ohio 45202</w:t>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EF05E" w14:textId="77777777" w:rsidR="00736494" w:rsidRDefault="0073649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FB03C" w14:textId="77777777" w:rsidR="00736494" w:rsidRDefault="009156A5">
    <w:pPr>
      <w:spacing w:after="29"/>
      <w:ind w:left="70"/>
      <w:jc w:val="center"/>
    </w:pPr>
    <w:r>
      <w:rPr>
        <w:noProof/>
      </w:rPr>
      <mc:AlternateContent>
        <mc:Choice Requires="wpg">
          <w:drawing>
            <wp:anchor distT="0" distB="0" distL="114300" distR="114300" simplePos="0" relativeHeight="251658244" behindDoc="0" locked="0" layoutInCell="1" allowOverlap="1" wp14:anchorId="1021D827" wp14:editId="7D6DFBEC">
              <wp:simplePos x="0" y="0"/>
              <wp:positionH relativeFrom="page">
                <wp:posOffset>895668</wp:posOffset>
              </wp:positionH>
              <wp:positionV relativeFrom="page">
                <wp:posOffset>8988107</wp:posOffset>
              </wp:positionV>
              <wp:extent cx="5984241" cy="6350"/>
              <wp:effectExtent l="0" t="0" r="0" b="0"/>
              <wp:wrapSquare wrapText="bothSides"/>
              <wp:docPr id="36715" name="Group 36715"/>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37991" name="Shape 37991"/>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715" style="width:471.2pt;height:0.5pt;position:absolute;mso-position-horizontal-relative:page;mso-position-horizontal:absolute;margin-left:70.525pt;mso-position-vertical-relative:page;margin-top:707.725pt;" coordsize="59842,63">
              <v:shape id="Shape 37992" style="position:absolute;width:59842;height:91;left:0;top:0;" coordsize="5984241,9144" path="m0,0l5984241,0l5984241,9144l0,9144l0,0">
                <v:stroke weight="0pt" endcap="flat" joinstyle="miter" miterlimit="10" on="false" color="#000000" opacity="0"/>
                <v:fill on="true" color="#000000"/>
              </v:shape>
              <w10:wrap type="square"/>
            </v:group>
          </w:pict>
        </mc:Fallback>
      </mc:AlternateContent>
    </w:r>
    <w:r>
      <w:rPr>
        <w:sz w:val="18"/>
      </w:rPr>
      <w:t xml:space="preserve"> </w:t>
    </w:r>
  </w:p>
  <w:p w14:paraId="55D8EC20" w14:textId="77777777" w:rsidR="00736494" w:rsidRDefault="009156A5">
    <w:pPr>
      <w:tabs>
        <w:tab w:val="right" w:pos="9335"/>
      </w:tabs>
      <w:spacing w:after="20"/>
      <w:ind w:right="-25"/>
    </w:pPr>
    <w:r>
      <w:rPr>
        <w:sz w:val="18"/>
      </w:rPr>
      <w:t xml:space="preserve"> </w:t>
    </w:r>
    <w:r>
      <w:rPr>
        <w:sz w:val="18"/>
      </w:rPr>
      <w:tab/>
    </w:r>
    <w:r>
      <w:rPr>
        <w:rFonts w:ascii="Consolas" w:eastAsia="Consolas" w:hAnsi="Consolas" w:cs="Consolas"/>
        <w:sz w:val="12"/>
      </w:rPr>
      <w:t xml:space="preserve">   Created: 2025-07-</w:t>
    </w:r>
    <w:fldSimple w:instr=" NUMPAGES   \* MERGEFORMAT ">
      <w:r>
        <w:rPr>
          <w:rFonts w:ascii="Consolas" w:eastAsia="Consolas" w:hAnsi="Consolas" w:cs="Consolas"/>
          <w:sz w:val="12"/>
        </w:rPr>
        <w:t>28</w:t>
      </w:r>
    </w:fldSimple>
    <w:r>
      <w:rPr>
        <w:rFonts w:ascii="Consolas" w:eastAsia="Consolas" w:hAnsi="Consolas" w:cs="Consolas"/>
        <w:sz w:val="12"/>
      </w:rPr>
      <w:t xml:space="preserve"> 11:12:13 [EST]</w:t>
    </w:r>
    <w:r>
      <w:rPr>
        <w:sz w:val="18"/>
      </w:rPr>
      <w:t xml:space="preserve"> </w:t>
    </w:r>
  </w:p>
  <w:p w14:paraId="7DE76B0D" w14:textId="77777777" w:rsidR="00736494" w:rsidRDefault="009156A5">
    <w:pPr>
      <w:spacing w:after="23"/>
    </w:pPr>
    <w:r>
      <w:rPr>
        <w:sz w:val="18"/>
      </w:rPr>
      <w:t xml:space="preserve">(Supp. No. 24, Update 1 ) </w:t>
    </w:r>
  </w:p>
  <w:p w14:paraId="3202D35A" w14:textId="77777777" w:rsidR="00736494" w:rsidRDefault="009156A5">
    <w:pPr>
      <w:spacing w:after="0"/>
      <w:ind w:left="70"/>
      <w:jc w:val="center"/>
    </w:pPr>
    <w:r>
      <w:rPr>
        <w:sz w:val="18"/>
      </w:rPr>
      <w:t xml:space="preserve"> </w:t>
    </w:r>
  </w:p>
  <w:p w14:paraId="3172E077" w14:textId="77777777" w:rsidR="00736494" w:rsidRDefault="009156A5">
    <w:pPr>
      <w:spacing w:after="0"/>
      <w:ind w:left="26"/>
      <w:jc w:val="center"/>
    </w:pPr>
    <w:r>
      <w:rPr>
        <w:sz w:val="18"/>
      </w:rPr>
      <w:t xml:space="preserve">Page </w:t>
    </w:r>
    <w:r>
      <w:fldChar w:fldCharType="begin"/>
    </w:r>
    <w:r>
      <w:instrText xml:space="preserve"> PAGE   \* MERGEFORMAT </w:instrText>
    </w:r>
    <w:r>
      <w:fldChar w:fldCharType="separate"/>
    </w:r>
    <w:r>
      <w:rPr>
        <w:sz w:val="18"/>
      </w:rPr>
      <w:t>2</w:t>
    </w:r>
    <w:r>
      <w:rPr>
        <w:sz w:val="18"/>
      </w:rPr>
      <w:fldChar w:fldCharType="end"/>
    </w:r>
    <w:r>
      <w:rPr>
        <w:sz w:val="18"/>
      </w:rPr>
      <w:t xml:space="preserve"> of 4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A44DD" w14:textId="77777777" w:rsidR="00736494" w:rsidRDefault="009156A5">
    <w:pPr>
      <w:spacing w:after="29"/>
      <w:ind w:left="70"/>
      <w:jc w:val="center"/>
    </w:pPr>
    <w:r>
      <w:rPr>
        <w:noProof/>
      </w:rPr>
      <mc:AlternateContent>
        <mc:Choice Requires="wpg">
          <w:drawing>
            <wp:anchor distT="0" distB="0" distL="114300" distR="114300" simplePos="0" relativeHeight="251658245" behindDoc="0" locked="0" layoutInCell="1" allowOverlap="1" wp14:anchorId="7F668FEE" wp14:editId="1CAC9FC4">
              <wp:simplePos x="0" y="0"/>
              <wp:positionH relativeFrom="page">
                <wp:posOffset>895668</wp:posOffset>
              </wp:positionH>
              <wp:positionV relativeFrom="page">
                <wp:posOffset>8988107</wp:posOffset>
              </wp:positionV>
              <wp:extent cx="5984241" cy="6350"/>
              <wp:effectExtent l="0" t="0" r="0" b="0"/>
              <wp:wrapSquare wrapText="bothSides"/>
              <wp:docPr id="36666" name="Group 36666"/>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37989" name="Shape 37989"/>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666" style="width:471.2pt;height:0.5pt;position:absolute;mso-position-horizontal-relative:page;mso-position-horizontal:absolute;margin-left:70.525pt;mso-position-vertical-relative:page;margin-top:707.725pt;" coordsize="59842,63">
              <v:shape id="Shape 37990" style="position:absolute;width:59842;height:91;left:0;top:0;" coordsize="5984241,9144" path="m0,0l5984241,0l5984241,9144l0,9144l0,0">
                <v:stroke weight="0pt" endcap="flat" joinstyle="miter" miterlimit="10" on="false" color="#000000" opacity="0"/>
                <v:fill on="true" color="#000000"/>
              </v:shape>
              <w10:wrap type="square"/>
            </v:group>
          </w:pict>
        </mc:Fallback>
      </mc:AlternateContent>
    </w:r>
    <w:r>
      <w:rPr>
        <w:sz w:val="18"/>
      </w:rPr>
      <w:t xml:space="preserve"> </w:t>
    </w:r>
  </w:p>
  <w:p w14:paraId="07C0A89B" w14:textId="77777777" w:rsidR="00736494" w:rsidRDefault="009156A5">
    <w:pPr>
      <w:tabs>
        <w:tab w:val="right" w:pos="9335"/>
      </w:tabs>
      <w:spacing w:after="20"/>
      <w:ind w:right="-25"/>
    </w:pPr>
    <w:r>
      <w:rPr>
        <w:sz w:val="18"/>
      </w:rPr>
      <w:t xml:space="preserve"> </w:t>
    </w:r>
    <w:r>
      <w:rPr>
        <w:sz w:val="18"/>
      </w:rPr>
      <w:tab/>
    </w:r>
    <w:r>
      <w:rPr>
        <w:rFonts w:ascii="Consolas" w:eastAsia="Consolas" w:hAnsi="Consolas" w:cs="Consolas"/>
        <w:sz w:val="12"/>
      </w:rPr>
      <w:t xml:space="preserve">   Created: 2025-07-</w:t>
    </w:r>
    <w:fldSimple w:instr=" NUMPAGES   \* MERGEFORMAT ">
      <w:r>
        <w:rPr>
          <w:rFonts w:ascii="Consolas" w:eastAsia="Consolas" w:hAnsi="Consolas" w:cs="Consolas"/>
          <w:sz w:val="12"/>
        </w:rPr>
        <w:t>28</w:t>
      </w:r>
    </w:fldSimple>
    <w:r>
      <w:rPr>
        <w:rFonts w:ascii="Consolas" w:eastAsia="Consolas" w:hAnsi="Consolas" w:cs="Consolas"/>
        <w:sz w:val="12"/>
      </w:rPr>
      <w:t xml:space="preserve"> 11:12:13 [EST]</w:t>
    </w:r>
    <w:r>
      <w:rPr>
        <w:sz w:val="18"/>
      </w:rPr>
      <w:t xml:space="preserve"> </w:t>
    </w:r>
  </w:p>
  <w:p w14:paraId="0510FF61" w14:textId="77777777" w:rsidR="00736494" w:rsidRDefault="009156A5">
    <w:pPr>
      <w:spacing w:after="23"/>
    </w:pPr>
    <w:r>
      <w:rPr>
        <w:sz w:val="18"/>
      </w:rPr>
      <w:t xml:space="preserve">(Supp. No. 24, Update 1 ) </w:t>
    </w:r>
  </w:p>
  <w:p w14:paraId="7821E122" w14:textId="77777777" w:rsidR="00736494" w:rsidRDefault="009156A5">
    <w:pPr>
      <w:spacing w:after="0"/>
      <w:ind w:left="70"/>
      <w:jc w:val="center"/>
    </w:pPr>
    <w:r>
      <w:rPr>
        <w:sz w:val="18"/>
      </w:rPr>
      <w:t xml:space="preserve"> </w:t>
    </w:r>
  </w:p>
  <w:p w14:paraId="46C6DEB2" w14:textId="77777777" w:rsidR="00736494" w:rsidRDefault="009156A5">
    <w:pPr>
      <w:spacing w:after="0"/>
      <w:ind w:left="26"/>
      <w:jc w:val="center"/>
    </w:pPr>
    <w:r>
      <w:rPr>
        <w:sz w:val="18"/>
      </w:rPr>
      <w:t xml:space="preserve">Page </w:t>
    </w:r>
    <w:r>
      <w:fldChar w:fldCharType="begin"/>
    </w:r>
    <w:r>
      <w:instrText xml:space="preserve"> PAGE   \* MERGEFORMAT </w:instrText>
    </w:r>
    <w:r>
      <w:fldChar w:fldCharType="separate"/>
    </w:r>
    <w:r>
      <w:rPr>
        <w:sz w:val="18"/>
      </w:rPr>
      <w:t>2</w:t>
    </w:r>
    <w:r>
      <w:rPr>
        <w:sz w:val="18"/>
      </w:rPr>
      <w:fldChar w:fldCharType="end"/>
    </w:r>
    <w:r>
      <w:rPr>
        <w:sz w:val="18"/>
      </w:rPr>
      <w:t xml:space="preserve"> of 4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7BCD9" w14:textId="77777777" w:rsidR="00736494" w:rsidRDefault="009156A5">
    <w:pPr>
      <w:spacing w:after="41"/>
      <w:ind w:right="-25"/>
      <w:jc w:val="right"/>
    </w:pPr>
    <w:r>
      <w:rPr>
        <w:rFonts w:ascii="Consolas" w:eastAsia="Consolas" w:hAnsi="Consolas" w:cs="Consolas"/>
        <w:sz w:val="12"/>
      </w:rPr>
      <w:t xml:space="preserve">   Created: 2025-07-</w:t>
    </w:r>
    <w:fldSimple w:instr=" NUMPAGES   \* MERGEFORMAT ">
      <w:r>
        <w:rPr>
          <w:rFonts w:ascii="Consolas" w:eastAsia="Consolas" w:hAnsi="Consolas" w:cs="Consolas"/>
          <w:sz w:val="12"/>
        </w:rPr>
        <w:t>28</w:t>
      </w:r>
    </w:fldSimple>
    <w:r>
      <w:rPr>
        <w:rFonts w:ascii="Consolas" w:eastAsia="Consolas" w:hAnsi="Consolas" w:cs="Consolas"/>
        <w:sz w:val="12"/>
      </w:rPr>
      <w:t xml:space="preserve"> 11:12:13 [EST]</w:t>
    </w:r>
    <w:r>
      <w:rPr>
        <w:sz w:val="18"/>
      </w:rPr>
      <w:t xml:space="preserve"> </w:t>
    </w:r>
  </w:p>
  <w:p w14:paraId="2424AB6C" w14:textId="77777777" w:rsidR="00736494" w:rsidRDefault="009156A5">
    <w:pPr>
      <w:spacing w:after="23"/>
    </w:pPr>
    <w:r>
      <w:rPr>
        <w:sz w:val="18"/>
      </w:rPr>
      <w:t xml:space="preserve">(Supp. No. 24, Update 1 ) </w:t>
    </w:r>
  </w:p>
  <w:p w14:paraId="2DD118DD" w14:textId="77777777" w:rsidR="00736494" w:rsidRDefault="009156A5">
    <w:pPr>
      <w:spacing w:after="0"/>
      <w:ind w:left="70"/>
      <w:jc w:val="center"/>
    </w:pPr>
    <w:r>
      <w:rPr>
        <w:sz w:val="18"/>
      </w:rPr>
      <w:t xml:space="preserve"> </w:t>
    </w:r>
  </w:p>
  <w:p w14:paraId="49B3ACD4" w14:textId="77777777" w:rsidR="00736494" w:rsidRDefault="009156A5">
    <w:pPr>
      <w:spacing w:after="0"/>
      <w:ind w:left="26"/>
      <w:jc w:val="center"/>
    </w:pPr>
    <w:r>
      <w:rPr>
        <w:sz w:val="18"/>
      </w:rPr>
      <w:t xml:space="preserve">Page </w:t>
    </w:r>
    <w:r>
      <w:fldChar w:fldCharType="begin"/>
    </w:r>
    <w:r>
      <w:instrText xml:space="preserve"> PAGE   \* MERGEFORMAT </w:instrText>
    </w:r>
    <w:r>
      <w:fldChar w:fldCharType="separate"/>
    </w:r>
    <w:r>
      <w:rPr>
        <w:sz w:val="18"/>
      </w:rPr>
      <w:t>1</w:t>
    </w:r>
    <w:r>
      <w:rPr>
        <w:sz w:val="18"/>
      </w:rPr>
      <w:fldChar w:fldCharType="end"/>
    </w:r>
    <w:r>
      <w:rPr>
        <w:sz w:val="18"/>
      </w:rPr>
      <w:t xml:space="preserve"> of 4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DC142" w14:textId="77777777" w:rsidR="00736494" w:rsidRDefault="009156A5">
    <w:pPr>
      <w:spacing w:after="0"/>
      <w:ind w:left="48"/>
      <w:jc w:val="center"/>
    </w:pPr>
    <w:r>
      <w:rPr>
        <w:noProof/>
      </w:rPr>
      <w:drawing>
        <wp:anchor distT="0" distB="0" distL="114300" distR="114300" simplePos="0" relativeHeight="251658248" behindDoc="0" locked="0" layoutInCell="1" allowOverlap="0" wp14:anchorId="724EEC22" wp14:editId="58C5D514">
          <wp:simplePos x="0" y="0"/>
          <wp:positionH relativeFrom="page">
            <wp:posOffset>3248025</wp:posOffset>
          </wp:positionH>
          <wp:positionV relativeFrom="page">
            <wp:posOffset>9042235</wp:posOffset>
          </wp:positionV>
          <wp:extent cx="1272540" cy="318135"/>
          <wp:effectExtent l="0" t="0" r="0" b="0"/>
          <wp:wrapSquare wrapText="bothSides"/>
          <wp:docPr id="1457" name="Picture 1457"/>
          <wp:cNvGraphicFramePr/>
          <a:graphic xmlns:a="http://schemas.openxmlformats.org/drawingml/2006/main">
            <a:graphicData uri="http://schemas.openxmlformats.org/drawingml/2006/picture">
              <pic:pic xmlns:pic="http://schemas.openxmlformats.org/drawingml/2006/picture">
                <pic:nvPicPr>
                  <pic:cNvPr id="1457" name="Picture 1457"/>
                  <pic:cNvPicPr/>
                </pic:nvPicPr>
                <pic:blipFill>
                  <a:blip r:embed="rId1"/>
                  <a:stretch>
                    <a:fillRect/>
                  </a:stretch>
                </pic:blipFill>
                <pic:spPr>
                  <a:xfrm>
                    <a:off x="0" y="0"/>
                    <a:ext cx="1272540" cy="318135"/>
                  </a:xfrm>
                  <a:prstGeom prst="rect">
                    <a:avLst/>
                  </a:prstGeom>
                </pic:spPr>
              </pic:pic>
            </a:graphicData>
          </a:graphic>
        </wp:anchor>
      </w:drawing>
    </w:r>
    <w:r>
      <w:rPr>
        <w:rFonts w:ascii="Corbel" w:eastAsia="Corbel" w:hAnsi="Corbel" w:cs="Corbel"/>
        <w:b/>
        <w:sz w:val="21"/>
      </w:rPr>
      <w:t xml:space="preserve"> </w:t>
    </w:r>
  </w:p>
  <w:p w14:paraId="53DBEE39" w14:textId="77777777" w:rsidR="00736494" w:rsidRDefault="009156A5">
    <w:pPr>
      <w:spacing w:after="0"/>
      <w:ind w:left="8"/>
      <w:jc w:val="center"/>
    </w:pPr>
    <w:r>
      <w:rPr>
        <w:rFonts w:ascii="Century Gothic" w:eastAsia="Century Gothic" w:hAnsi="Century Gothic" w:cs="Century Gothic"/>
        <w:color w:val="959595"/>
        <w:sz w:val="16"/>
      </w:rPr>
      <w:t xml:space="preserve">1502 Vine Street, 3rd Floor </w:t>
    </w:r>
  </w:p>
  <w:p w14:paraId="374ED441" w14:textId="77777777" w:rsidR="00736494" w:rsidRDefault="009156A5">
    <w:pPr>
      <w:spacing w:after="2"/>
      <w:ind w:left="7"/>
      <w:jc w:val="center"/>
    </w:pPr>
    <w:r>
      <w:rPr>
        <w:rFonts w:ascii="Century Gothic" w:eastAsia="Century Gothic" w:hAnsi="Century Gothic" w:cs="Century Gothic"/>
        <w:color w:val="959595"/>
        <w:sz w:val="16"/>
      </w:rPr>
      <w:t xml:space="preserve">Cincinnati, Ohio 45202 </w:t>
    </w:r>
  </w:p>
  <w:p w14:paraId="66318965" w14:textId="77777777" w:rsidR="00736494" w:rsidRDefault="009156A5">
    <w:pPr>
      <w:spacing w:after="0"/>
      <w:ind w:left="46"/>
      <w:jc w:val="center"/>
    </w:pPr>
    <w:r>
      <w:rPr>
        <w:rFonts w:ascii="Corbel" w:eastAsia="Corbel" w:hAnsi="Corbel" w:cs="Corbel"/>
        <w:b/>
        <w:sz w:val="21"/>
      </w:rPr>
      <w:t xml:space="preserve"> </w:t>
    </w:r>
    <w:r>
      <w:rPr>
        <w:rFonts w:ascii="Corbel" w:eastAsia="Corbel" w:hAnsi="Corbel" w:cs="Corbel"/>
        <w:b/>
        <w:sz w:val="21"/>
      </w:rPr>
      <w:tab/>
    </w:r>
    <w:r>
      <w:rPr>
        <w:rFonts w:ascii="Century Gothic" w:eastAsia="Century Gothic" w:hAnsi="Century Gothic" w:cs="Century Gothic"/>
        <w:color w:val="959595"/>
        <w:sz w:val="14"/>
      </w:rPr>
      <w:t xml:space="preserve"> </w:t>
    </w:r>
  </w:p>
  <w:p w14:paraId="1570C1FC" w14:textId="77777777" w:rsidR="00736494" w:rsidRDefault="009156A5">
    <w:pPr>
      <w:spacing w:after="0"/>
      <w:ind w:left="51"/>
      <w:jc w:val="center"/>
    </w:pPr>
    <w:r>
      <w:rPr>
        <w:rFonts w:ascii="Corbel" w:eastAsia="Corbel" w:hAnsi="Corbel" w:cs="Corbel"/>
        <w:b/>
        <w:sz w:val="21"/>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C6401" w14:textId="77777777" w:rsidR="00736494" w:rsidRDefault="009156A5">
    <w:pPr>
      <w:spacing w:after="0"/>
      <w:ind w:left="48"/>
      <w:jc w:val="center"/>
    </w:pPr>
    <w:r>
      <w:rPr>
        <w:noProof/>
      </w:rPr>
      <w:drawing>
        <wp:anchor distT="0" distB="0" distL="114300" distR="114300" simplePos="0" relativeHeight="251658249" behindDoc="0" locked="0" layoutInCell="1" allowOverlap="0" wp14:anchorId="388C3C81" wp14:editId="76F9EB57">
          <wp:simplePos x="0" y="0"/>
          <wp:positionH relativeFrom="page">
            <wp:posOffset>3248025</wp:posOffset>
          </wp:positionH>
          <wp:positionV relativeFrom="page">
            <wp:posOffset>9042235</wp:posOffset>
          </wp:positionV>
          <wp:extent cx="1272540" cy="318135"/>
          <wp:effectExtent l="0" t="0" r="0" b="0"/>
          <wp:wrapSquare wrapText="bothSides"/>
          <wp:docPr id="78396804" name="Picture 78396804"/>
          <wp:cNvGraphicFramePr/>
          <a:graphic xmlns:a="http://schemas.openxmlformats.org/drawingml/2006/main">
            <a:graphicData uri="http://schemas.openxmlformats.org/drawingml/2006/picture">
              <pic:pic xmlns:pic="http://schemas.openxmlformats.org/drawingml/2006/picture">
                <pic:nvPicPr>
                  <pic:cNvPr id="1457" name="Picture 1457"/>
                  <pic:cNvPicPr/>
                </pic:nvPicPr>
                <pic:blipFill>
                  <a:blip r:embed="rId1"/>
                  <a:stretch>
                    <a:fillRect/>
                  </a:stretch>
                </pic:blipFill>
                <pic:spPr>
                  <a:xfrm>
                    <a:off x="0" y="0"/>
                    <a:ext cx="1272540" cy="318135"/>
                  </a:xfrm>
                  <a:prstGeom prst="rect">
                    <a:avLst/>
                  </a:prstGeom>
                </pic:spPr>
              </pic:pic>
            </a:graphicData>
          </a:graphic>
        </wp:anchor>
      </w:drawing>
    </w:r>
    <w:r>
      <w:rPr>
        <w:rFonts w:ascii="Corbel" w:eastAsia="Corbel" w:hAnsi="Corbel" w:cs="Corbel"/>
        <w:b/>
        <w:sz w:val="21"/>
      </w:rPr>
      <w:t xml:space="preserve"> </w:t>
    </w:r>
  </w:p>
  <w:p w14:paraId="4F752479" w14:textId="77777777" w:rsidR="00736494" w:rsidRDefault="009156A5">
    <w:pPr>
      <w:spacing w:after="0"/>
      <w:ind w:left="8"/>
      <w:jc w:val="center"/>
    </w:pPr>
    <w:r>
      <w:rPr>
        <w:rFonts w:ascii="Century Gothic" w:eastAsia="Century Gothic" w:hAnsi="Century Gothic" w:cs="Century Gothic"/>
        <w:color w:val="959595"/>
        <w:sz w:val="16"/>
      </w:rPr>
      <w:t xml:space="preserve">1502 Vine Street, 3rd Floor </w:t>
    </w:r>
  </w:p>
  <w:p w14:paraId="5C0512F1" w14:textId="77777777" w:rsidR="00736494" w:rsidRDefault="009156A5">
    <w:pPr>
      <w:spacing w:after="2"/>
      <w:ind w:left="7"/>
      <w:jc w:val="center"/>
    </w:pPr>
    <w:r>
      <w:rPr>
        <w:rFonts w:ascii="Century Gothic" w:eastAsia="Century Gothic" w:hAnsi="Century Gothic" w:cs="Century Gothic"/>
        <w:color w:val="959595"/>
        <w:sz w:val="16"/>
      </w:rPr>
      <w:t xml:space="preserve">Cincinnati, Ohio 45202 </w:t>
    </w:r>
  </w:p>
  <w:p w14:paraId="49B49159" w14:textId="77777777" w:rsidR="00736494" w:rsidRDefault="009156A5">
    <w:pPr>
      <w:spacing w:after="0"/>
      <w:ind w:left="46"/>
      <w:jc w:val="center"/>
    </w:pPr>
    <w:r>
      <w:rPr>
        <w:rFonts w:ascii="Corbel" w:eastAsia="Corbel" w:hAnsi="Corbel" w:cs="Corbel"/>
        <w:b/>
        <w:sz w:val="21"/>
      </w:rPr>
      <w:t xml:space="preserve"> </w:t>
    </w:r>
    <w:r>
      <w:rPr>
        <w:rFonts w:ascii="Corbel" w:eastAsia="Corbel" w:hAnsi="Corbel" w:cs="Corbel"/>
        <w:b/>
        <w:sz w:val="21"/>
      </w:rPr>
      <w:tab/>
    </w:r>
    <w:r>
      <w:rPr>
        <w:rFonts w:ascii="Century Gothic" w:eastAsia="Century Gothic" w:hAnsi="Century Gothic" w:cs="Century Gothic"/>
        <w:color w:val="959595"/>
        <w:sz w:val="14"/>
      </w:rPr>
      <w:t xml:space="preserve"> </w:t>
    </w:r>
  </w:p>
  <w:p w14:paraId="2F38EF74" w14:textId="77777777" w:rsidR="00736494" w:rsidRDefault="009156A5">
    <w:pPr>
      <w:spacing w:after="0"/>
      <w:ind w:left="51"/>
      <w:jc w:val="center"/>
    </w:pPr>
    <w:r>
      <w:rPr>
        <w:rFonts w:ascii="Corbel" w:eastAsia="Corbel" w:hAnsi="Corbel" w:cs="Corbel"/>
        <w:b/>
        <w:sz w:val="21"/>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AD9A8" w14:textId="77777777" w:rsidR="00736494" w:rsidRDefault="007364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30F41" w14:textId="77777777" w:rsidR="00336CA4" w:rsidRDefault="00336CA4">
      <w:pPr>
        <w:spacing w:after="0" w:line="240" w:lineRule="auto"/>
      </w:pPr>
      <w:r>
        <w:separator/>
      </w:r>
    </w:p>
  </w:footnote>
  <w:footnote w:type="continuationSeparator" w:id="0">
    <w:p w14:paraId="2307EFAE" w14:textId="77777777" w:rsidR="00336CA4" w:rsidRDefault="00336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E28F5" w14:textId="77777777" w:rsidR="00736494" w:rsidRDefault="009156A5">
    <w:pPr>
      <w:spacing w:after="0"/>
    </w:pPr>
    <w:r>
      <w:rPr>
        <w:rFonts w:ascii="Garamond" w:eastAsia="Garamond" w:hAnsi="Garamond" w:cs="Garamond"/>
        <w:sz w:val="24"/>
      </w:rPr>
      <w:t xml:space="preserve">Ms. Lisa May </w:t>
    </w:r>
  </w:p>
  <w:p w14:paraId="38661D31" w14:textId="77777777" w:rsidR="00736494" w:rsidRDefault="009156A5">
    <w:pPr>
      <w:spacing w:after="0" w:line="273" w:lineRule="auto"/>
      <w:ind w:right="7524"/>
    </w:pPr>
    <w:r>
      <w:rPr>
        <w:rFonts w:ascii="Garamond" w:eastAsia="Garamond" w:hAnsi="Garamond" w:cs="Garamond"/>
        <w:sz w:val="24"/>
      </w:rPr>
      <w:t xml:space="preserve">March 6, 2026 Page </w:t>
    </w:r>
    <w:r>
      <w:fldChar w:fldCharType="begin"/>
    </w:r>
    <w:r>
      <w:instrText xml:space="preserve"> PAGE   \* MERGEFORMAT </w:instrText>
    </w:r>
    <w:r>
      <w:fldChar w:fldCharType="separate"/>
    </w:r>
    <w:r>
      <w:rPr>
        <w:rFonts w:ascii="Garamond" w:eastAsia="Garamond" w:hAnsi="Garamond" w:cs="Garamond"/>
        <w:sz w:val="24"/>
      </w:rPr>
      <w:t>2</w:t>
    </w:r>
    <w:r>
      <w:rPr>
        <w:rFonts w:ascii="Garamond" w:eastAsia="Garamond" w:hAnsi="Garamond" w:cs="Garamond"/>
        <w:sz w:val="24"/>
      </w:rPr>
      <w:fldChar w:fldCharType="end"/>
    </w: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8420" w14:textId="77777777" w:rsidR="00736494" w:rsidRDefault="009156A5">
    <w:pPr>
      <w:spacing w:after="0"/>
    </w:pPr>
    <w:r>
      <w:rPr>
        <w:rFonts w:ascii="Garamond" w:eastAsia="Garamond" w:hAnsi="Garamond" w:cs="Garamond"/>
        <w:sz w:val="24"/>
      </w:rPr>
      <w:t xml:space="preserve">Ms. Lisa May </w:t>
    </w:r>
  </w:p>
  <w:p w14:paraId="0CE6A395" w14:textId="77777777" w:rsidR="00736494" w:rsidRDefault="009156A5">
    <w:pPr>
      <w:spacing w:after="0" w:line="273" w:lineRule="auto"/>
      <w:ind w:right="7524"/>
    </w:pPr>
    <w:r>
      <w:rPr>
        <w:rFonts w:ascii="Garamond" w:eastAsia="Garamond" w:hAnsi="Garamond" w:cs="Garamond"/>
        <w:sz w:val="24"/>
      </w:rPr>
      <w:t xml:space="preserve">March 6, 2026 Page </w:t>
    </w:r>
    <w:r>
      <w:fldChar w:fldCharType="begin"/>
    </w:r>
    <w:r>
      <w:instrText xml:space="preserve"> PAGE   \* MERGEFORMAT </w:instrText>
    </w:r>
    <w:r>
      <w:fldChar w:fldCharType="separate"/>
    </w:r>
    <w:r>
      <w:rPr>
        <w:rFonts w:ascii="Garamond" w:eastAsia="Garamond" w:hAnsi="Garamond" w:cs="Garamond"/>
        <w:sz w:val="24"/>
      </w:rPr>
      <w:t>2</w:t>
    </w:r>
    <w:r>
      <w:rPr>
        <w:rFonts w:ascii="Garamond" w:eastAsia="Garamond" w:hAnsi="Garamond" w:cs="Garamond"/>
        <w:sz w:val="24"/>
      </w:rPr>
      <w:fldChar w:fldCharType="end"/>
    </w:r>
    <w:r>
      <w:rPr>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1AB2F" w14:textId="77777777" w:rsidR="00736494" w:rsidRDefault="0073649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5ADC5" w14:textId="77777777" w:rsidR="00736494" w:rsidRDefault="009156A5">
    <w:pPr>
      <w:spacing w:after="31"/>
      <w:ind w:left="75"/>
      <w:jc w:val="center"/>
    </w:pPr>
    <w:r>
      <w:rPr>
        <w:noProof/>
      </w:rPr>
      <mc:AlternateContent>
        <mc:Choice Requires="wpg">
          <w:drawing>
            <wp:anchor distT="0" distB="0" distL="114300" distR="114300" simplePos="0" relativeHeight="251658242" behindDoc="0" locked="0" layoutInCell="1" allowOverlap="1" wp14:anchorId="3F573A04" wp14:editId="10597749">
              <wp:simplePos x="0" y="0"/>
              <wp:positionH relativeFrom="page">
                <wp:posOffset>895668</wp:posOffset>
              </wp:positionH>
              <wp:positionV relativeFrom="page">
                <wp:posOffset>663956</wp:posOffset>
              </wp:positionV>
              <wp:extent cx="5984241" cy="6350"/>
              <wp:effectExtent l="0" t="0" r="0" b="0"/>
              <wp:wrapSquare wrapText="bothSides"/>
              <wp:docPr id="36704" name="Group 36704"/>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37987" name="Shape 37987"/>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704" style="width:471.2pt;height:0.5pt;position:absolute;mso-position-horizontal-relative:page;mso-position-horizontal:absolute;margin-left:70.525pt;mso-position-vertical-relative:page;margin-top:52.28pt;" coordsize="59842,63">
              <v:shape id="Shape 37988" style="position:absolute;width:59842;height:91;left:0;top:0;" coordsize="5984241,9144" path="m0,0l5984241,0l5984241,9144l0,9144l0,0">
                <v:stroke weight="0pt" endcap="flat" joinstyle="miter" miterlimit="10" on="false" color="#000000" opacity="0"/>
                <v:fill on="true" color="#000000"/>
              </v:shape>
              <w10:wrap type="square"/>
            </v:group>
          </w:pict>
        </mc:Fallback>
      </mc:AlternateContent>
    </w:r>
    <w:r>
      <w:rPr>
        <w:sz w:val="20"/>
      </w:rPr>
      <w:t xml:space="preserve"> </w:t>
    </w:r>
  </w:p>
  <w:p w14:paraId="5768394E" w14:textId="77777777" w:rsidR="00736494" w:rsidRDefault="009156A5">
    <w:pPr>
      <w:spacing w:after="0"/>
      <w:ind w:left="75"/>
      <w:jc w:val="center"/>
    </w:pPr>
    <w:r>
      <w:rPr>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29538" w14:textId="77777777" w:rsidR="00736494" w:rsidRDefault="009156A5">
    <w:pPr>
      <w:spacing w:after="31"/>
      <w:ind w:left="75"/>
      <w:jc w:val="center"/>
    </w:pPr>
    <w:r>
      <w:rPr>
        <w:noProof/>
      </w:rPr>
      <mc:AlternateContent>
        <mc:Choice Requires="wpg">
          <w:drawing>
            <wp:anchor distT="0" distB="0" distL="114300" distR="114300" simplePos="0" relativeHeight="251658243" behindDoc="0" locked="0" layoutInCell="1" allowOverlap="1" wp14:anchorId="5341D81A" wp14:editId="200C3A35">
              <wp:simplePos x="0" y="0"/>
              <wp:positionH relativeFrom="page">
                <wp:posOffset>895668</wp:posOffset>
              </wp:positionH>
              <wp:positionV relativeFrom="page">
                <wp:posOffset>663956</wp:posOffset>
              </wp:positionV>
              <wp:extent cx="5984241" cy="6350"/>
              <wp:effectExtent l="0" t="0" r="0" b="0"/>
              <wp:wrapSquare wrapText="bothSides"/>
              <wp:docPr id="36655" name="Group 36655"/>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37985" name="Shape 37985"/>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655" style="width:471.2pt;height:0.5pt;position:absolute;mso-position-horizontal-relative:page;mso-position-horizontal:absolute;margin-left:70.525pt;mso-position-vertical-relative:page;margin-top:52.28pt;" coordsize="59842,63">
              <v:shape id="Shape 37986" style="position:absolute;width:59842;height:91;left:0;top:0;" coordsize="5984241,9144" path="m0,0l5984241,0l5984241,9144l0,9144l0,0">
                <v:stroke weight="0pt" endcap="flat" joinstyle="miter" miterlimit="10" on="false" color="#000000" opacity="0"/>
                <v:fill on="true" color="#000000"/>
              </v:shape>
              <w10:wrap type="square"/>
            </v:group>
          </w:pict>
        </mc:Fallback>
      </mc:AlternateContent>
    </w:r>
    <w:r>
      <w:rPr>
        <w:sz w:val="20"/>
      </w:rPr>
      <w:t xml:space="preserve"> </w:t>
    </w:r>
  </w:p>
  <w:p w14:paraId="7C935810" w14:textId="77777777" w:rsidR="00736494" w:rsidRDefault="009156A5">
    <w:pPr>
      <w:spacing w:after="0"/>
      <w:ind w:left="75"/>
      <w:jc w:val="center"/>
    </w:pPr>
    <w:r>
      <w:rPr>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5E5" w14:textId="77777777" w:rsidR="00736494" w:rsidRDefault="00736494"/>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742CF" w14:textId="77777777" w:rsidR="00736494" w:rsidRDefault="009156A5">
    <w:pPr>
      <w:spacing w:after="0"/>
    </w:pPr>
    <w:r>
      <w:rPr>
        <w:noProof/>
      </w:rPr>
      <w:drawing>
        <wp:anchor distT="0" distB="0" distL="114300" distR="114300" simplePos="0" relativeHeight="251658246" behindDoc="0" locked="0" layoutInCell="1" allowOverlap="0" wp14:anchorId="2579D0E3" wp14:editId="4D4F4E29">
          <wp:simplePos x="0" y="0"/>
          <wp:positionH relativeFrom="page">
            <wp:posOffset>5524500</wp:posOffset>
          </wp:positionH>
          <wp:positionV relativeFrom="page">
            <wp:posOffset>271145</wp:posOffset>
          </wp:positionV>
          <wp:extent cx="1333500" cy="696468"/>
          <wp:effectExtent l="0" t="0" r="0" b="0"/>
          <wp:wrapSquare wrapText="bothSides"/>
          <wp:docPr id="1459" name="Picture 1459"/>
          <wp:cNvGraphicFramePr/>
          <a:graphic xmlns:a="http://schemas.openxmlformats.org/drawingml/2006/main">
            <a:graphicData uri="http://schemas.openxmlformats.org/drawingml/2006/picture">
              <pic:pic xmlns:pic="http://schemas.openxmlformats.org/drawingml/2006/picture">
                <pic:nvPicPr>
                  <pic:cNvPr id="1459" name="Picture 1459"/>
                  <pic:cNvPicPr/>
                </pic:nvPicPr>
                <pic:blipFill>
                  <a:blip r:embed="rId1"/>
                  <a:stretch>
                    <a:fillRect/>
                  </a:stretch>
                </pic:blipFill>
                <pic:spPr>
                  <a:xfrm>
                    <a:off x="0" y="0"/>
                    <a:ext cx="1333500" cy="696468"/>
                  </a:xfrm>
                  <a:prstGeom prst="rect">
                    <a:avLst/>
                  </a:prstGeom>
                </pic:spPr>
              </pic:pic>
            </a:graphicData>
          </a:graphic>
        </wp:anchor>
      </w:drawing>
    </w:r>
    <w:r>
      <w:rPr>
        <w:b/>
        <w:color w:val="404040"/>
        <w:sz w:val="20"/>
      </w:rPr>
      <w:t xml:space="preserve">ACCESSORY DWELLING UNITS </w:t>
    </w:r>
  </w:p>
  <w:p w14:paraId="418AE34E" w14:textId="77777777" w:rsidR="00736494" w:rsidRDefault="009156A5">
    <w:pPr>
      <w:spacing w:after="0"/>
    </w:pPr>
    <w:r>
      <w:rPr>
        <w:rFonts w:ascii="Calisto MT" w:eastAsia="Calisto MT" w:hAnsi="Calisto MT" w:cs="Calisto MT"/>
        <w:b/>
        <w:i/>
        <w:color w:val="404040"/>
        <w:sz w:val="20"/>
      </w:rPr>
      <w:t xml:space="preserve">A Guide for Local Implementation of  </w:t>
    </w:r>
  </w:p>
  <w:p w14:paraId="083EF497" w14:textId="77777777" w:rsidR="00736494" w:rsidRDefault="009156A5">
    <w:pPr>
      <w:spacing w:after="0"/>
    </w:pPr>
    <w:r>
      <w:rPr>
        <w:rFonts w:ascii="Calisto MT" w:eastAsia="Calisto MT" w:hAnsi="Calisto MT" w:cs="Calisto MT"/>
        <w:b/>
        <w:i/>
        <w:color w:val="404040"/>
        <w:sz w:val="20"/>
      </w:rPr>
      <w:t xml:space="preserve">Maryland 2025 HB 1466 </w:t>
    </w:r>
  </w:p>
  <w:p w14:paraId="723A02BE" w14:textId="77777777" w:rsidR="00736494" w:rsidRDefault="009156A5">
    <w:pPr>
      <w:spacing w:after="0"/>
    </w:pPr>
    <w:r>
      <w:rPr>
        <w:rFonts w:ascii="Corbel" w:eastAsia="Corbel" w:hAnsi="Corbel" w:cs="Corbel"/>
        <w:color w:val="757575"/>
        <w:sz w:val="20"/>
      </w:rPr>
      <w:t xml:space="preserve"> </w:t>
    </w:r>
  </w:p>
  <w:p w14:paraId="36883493" w14:textId="77777777" w:rsidR="00736494" w:rsidRDefault="009156A5">
    <w:pPr>
      <w:spacing w:after="0"/>
    </w:pPr>
    <w:r>
      <w:rPr>
        <w:rFonts w:ascii="Corbel" w:eastAsia="Corbel" w:hAnsi="Corbel" w:cs="Corbel"/>
        <w:sz w:val="21"/>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E951" w14:textId="77777777" w:rsidR="00736494" w:rsidRDefault="009156A5">
    <w:pPr>
      <w:spacing w:after="0"/>
    </w:pPr>
    <w:r>
      <w:rPr>
        <w:noProof/>
      </w:rPr>
      <w:drawing>
        <wp:anchor distT="0" distB="0" distL="114300" distR="114300" simplePos="0" relativeHeight="251658247" behindDoc="0" locked="0" layoutInCell="1" allowOverlap="0" wp14:anchorId="76764F7C" wp14:editId="33D44B06">
          <wp:simplePos x="0" y="0"/>
          <wp:positionH relativeFrom="page">
            <wp:posOffset>5524500</wp:posOffset>
          </wp:positionH>
          <wp:positionV relativeFrom="page">
            <wp:posOffset>271145</wp:posOffset>
          </wp:positionV>
          <wp:extent cx="1333500" cy="696468"/>
          <wp:effectExtent l="0" t="0" r="0" b="0"/>
          <wp:wrapSquare wrapText="bothSides"/>
          <wp:docPr id="956092394" name="Picture 956092394"/>
          <wp:cNvGraphicFramePr/>
          <a:graphic xmlns:a="http://schemas.openxmlformats.org/drawingml/2006/main">
            <a:graphicData uri="http://schemas.openxmlformats.org/drawingml/2006/picture">
              <pic:pic xmlns:pic="http://schemas.openxmlformats.org/drawingml/2006/picture">
                <pic:nvPicPr>
                  <pic:cNvPr id="1459" name="Picture 1459"/>
                  <pic:cNvPicPr/>
                </pic:nvPicPr>
                <pic:blipFill>
                  <a:blip r:embed="rId1"/>
                  <a:stretch>
                    <a:fillRect/>
                  </a:stretch>
                </pic:blipFill>
                <pic:spPr>
                  <a:xfrm>
                    <a:off x="0" y="0"/>
                    <a:ext cx="1333500" cy="696468"/>
                  </a:xfrm>
                  <a:prstGeom prst="rect">
                    <a:avLst/>
                  </a:prstGeom>
                </pic:spPr>
              </pic:pic>
            </a:graphicData>
          </a:graphic>
        </wp:anchor>
      </w:drawing>
    </w:r>
    <w:r>
      <w:rPr>
        <w:b/>
        <w:color w:val="404040"/>
        <w:sz w:val="20"/>
      </w:rPr>
      <w:t xml:space="preserve">ACCESSORY DWELLING UNITS </w:t>
    </w:r>
  </w:p>
  <w:p w14:paraId="694D9945" w14:textId="77777777" w:rsidR="00736494" w:rsidRDefault="009156A5">
    <w:pPr>
      <w:spacing w:after="0"/>
    </w:pPr>
    <w:r>
      <w:rPr>
        <w:rFonts w:ascii="Calisto MT" w:eastAsia="Calisto MT" w:hAnsi="Calisto MT" w:cs="Calisto MT"/>
        <w:b/>
        <w:i/>
        <w:color w:val="404040"/>
        <w:sz w:val="20"/>
      </w:rPr>
      <w:t xml:space="preserve">A Guide for Local Implementation of  </w:t>
    </w:r>
  </w:p>
  <w:p w14:paraId="60FDEBE4" w14:textId="77777777" w:rsidR="00736494" w:rsidRDefault="009156A5">
    <w:pPr>
      <w:spacing w:after="0"/>
    </w:pPr>
    <w:r>
      <w:rPr>
        <w:rFonts w:ascii="Calisto MT" w:eastAsia="Calisto MT" w:hAnsi="Calisto MT" w:cs="Calisto MT"/>
        <w:b/>
        <w:i/>
        <w:color w:val="404040"/>
        <w:sz w:val="20"/>
      </w:rPr>
      <w:t xml:space="preserve">Maryland 2025 HB 1466 </w:t>
    </w:r>
  </w:p>
  <w:p w14:paraId="084F8563" w14:textId="77777777" w:rsidR="00736494" w:rsidRDefault="009156A5">
    <w:pPr>
      <w:spacing w:after="0"/>
    </w:pPr>
    <w:r>
      <w:rPr>
        <w:rFonts w:ascii="Corbel" w:eastAsia="Corbel" w:hAnsi="Corbel" w:cs="Corbel"/>
        <w:color w:val="757575"/>
        <w:sz w:val="20"/>
      </w:rPr>
      <w:t xml:space="preserve"> </w:t>
    </w:r>
  </w:p>
  <w:p w14:paraId="6DBCEE98" w14:textId="77777777" w:rsidR="00736494" w:rsidRDefault="009156A5">
    <w:pPr>
      <w:spacing w:after="0"/>
    </w:pPr>
    <w:r>
      <w:rPr>
        <w:rFonts w:ascii="Corbel" w:eastAsia="Corbel" w:hAnsi="Corbel" w:cs="Corbel"/>
        <w:sz w:val="21"/>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49DBE" w14:textId="77777777" w:rsidR="00736494" w:rsidRDefault="0073649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4467"/>
    <w:multiLevelType w:val="hybridMultilevel"/>
    <w:tmpl w:val="B44A2F04"/>
    <w:lvl w:ilvl="0" w:tplc="F3E0922C">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2450842C">
      <w:start w:val="1"/>
      <w:numFmt w:val="lowerLetter"/>
      <w:lvlText w:val="%2"/>
      <w:lvlJc w:val="left"/>
      <w:pPr>
        <w:ind w:left="197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1E76E6C4">
      <w:start w:val="1"/>
      <w:numFmt w:val="lowerRoman"/>
      <w:lvlText w:val="%3"/>
      <w:lvlJc w:val="left"/>
      <w:pPr>
        <w:ind w:left="269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754E91C6">
      <w:start w:val="1"/>
      <w:numFmt w:val="decimal"/>
      <w:lvlText w:val="%4"/>
      <w:lvlJc w:val="left"/>
      <w:pPr>
        <w:ind w:left="341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BE204B9A">
      <w:start w:val="1"/>
      <w:numFmt w:val="lowerLetter"/>
      <w:lvlText w:val="%5"/>
      <w:lvlJc w:val="left"/>
      <w:pPr>
        <w:ind w:left="413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CEF290B0">
      <w:start w:val="1"/>
      <w:numFmt w:val="lowerRoman"/>
      <w:lvlText w:val="%6"/>
      <w:lvlJc w:val="left"/>
      <w:pPr>
        <w:ind w:left="485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5D2AA21A">
      <w:start w:val="1"/>
      <w:numFmt w:val="decimal"/>
      <w:lvlText w:val="%7"/>
      <w:lvlJc w:val="left"/>
      <w:pPr>
        <w:ind w:left="557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58505092">
      <w:start w:val="1"/>
      <w:numFmt w:val="lowerLetter"/>
      <w:lvlText w:val="%8"/>
      <w:lvlJc w:val="left"/>
      <w:pPr>
        <w:ind w:left="629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7C902CC4">
      <w:start w:val="1"/>
      <w:numFmt w:val="lowerRoman"/>
      <w:lvlText w:val="%9"/>
      <w:lvlJc w:val="left"/>
      <w:pPr>
        <w:ind w:left="701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F0254F"/>
    <w:multiLevelType w:val="hybridMultilevel"/>
    <w:tmpl w:val="04E87790"/>
    <w:lvl w:ilvl="0" w:tplc="6D3CF1F0">
      <w:start w:val="1"/>
      <w:numFmt w:val="upperLetter"/>
      <w:lvlText w:val="(%1)"/>
      <w:lvlJc w:val="left"/>
      <w:pPr>
        <w:ind w:left="593"/>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1" w:tplc="0672A612">
      <w:start w:val="1"/>
      <w:numFmt w:val="lowerLetter"/>
      <w:lvlText w:val="%2"/>
      <w:lvlJc w:val="left"/>
      <w:pPr>
        <w:ind w:left="1519"/>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2" w:tplc="9EDAA0D6">
      <w:start w:val="1"/>
      <w:numFmt w:val="lowerRoman"/>
      <w:lvlText w:val="%3"/>
      <w:lvlJc w:val="left"/>
      <w:pPr>
        <w:ind w:left="2239"/>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3" w:tplc="DBD4D68C">
      <w:start w:val="1"/>
      <w:numFmt w:val="decimal"/>
      <w:lvlText w:val="%4"/>
      <w:lvlJc w:val="left"/>
      <w:pPr>
        <w:ind w:left="2959"/>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4" w:tplc="635659D0">
      <w:start w:val="1"/>
      <w:numFmt w:val="lowerLetter"/>
      <w:lvlText w:val="%5"/>
      <w:lvlJc w:val="left"/>
      <w:pPr>
        <w:ind w:left="3679"/>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5" w:tplc="06008FB0">
      <w:start w:val="1"/>
      <w:numFmt w:val="lowerRoman"/>
      <w:lvlText w:val="%6"/>
      <w:lvlJc w:val="left"/>
      <w:pPr>
        <w:ind w:left="4399"/>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6" w:tplc="C47A34AC">
      <w:start w:val="1"/>
      <w:numFmt w:val="decimal"/>
      <w:lvlText w:val="%7"/>
      <w:lvlJc w:val="left"/>
      <w:pPr>
        <w:ind w:left="5119"/>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7" w:tplc="1C10F664">
      <w:start w:val="1"/>
      <w:numFmt w:val="lowerLetter"/>
      <w:lvlText w:val="%8"/>
      <w:lvlJc w:val="left"/>
      <w:pPr>
        <w:ind w:left="5839"/>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8" w:tplc="1BAA9E46">
      <w:start w:val="1"/>
      <w:numFmt w:val="lowerRoman"/>
      <w:lvlText w:val="%9"/>
      <w:lvlJc w:val="left"/>
      <w:pPr>
        <w:ind w:left="6559"/>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abstractNum>
  <w:abstractNum w:abstractNumId="2" w15:restartNumberingAfterBreak="0">
    <w:nsid w:val="0BAE3229"/>
    <w:multiLevelType w:val="hybridMultilevel"/>
    <w:tmpl w:val="23ACDD64"/>
    <w:lvl w:ilvl="0" w:tplc="CC9CF4CC">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D0BEAF80">
      <w:start w:val="1"/>
      <w:numFmt w:val="lowerLetter"/>
      <w:lvlText w:val="%2"/>
      <w:lvlJc w:val="left"/>
      <w:pPr>
        <w:ind w:left="197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4C329C74">
      <w:start w:val="1"/>
      <w:numFmt w:val="lowerRoman"/>
      <w:lvlText w:val="%3"/>
      <w:lvlJc w:val="left"/>
      <w:pPr>
        <w:ind w:left="269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B338EB16">
      <w:start w:val="1"/>
      <w:numFmt w:val="decimal"/>
      <w:lvlText w:val="%4"/>
      <w:lvlJc w:val="left"/>
      <w:pPr>
        <w:ind w:left="341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595CAEB4">
      <w:start w:val="1"/>
      <w:numFmt w:val="lowerLetter"/>
      <w:lvlText w:val="%5"/>
      <w:lvlJc w:val="left"/>
      <w:pPr>
        <w:ind w:left="413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9E188F00">
      <w:start w:val="1"/>
      <w:numFmt w:val="lowerRoman"/>
      <w:lvlText w:val="%6"/>
      <w:lvlJc w:val="left"/>
      <w:pPr>
        <w:ind w:left="485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92704868">
      <w:start w:val="1"/>
      <w:numFmt w:val="decimal"/>
      <w:lvlText w:val="%7"/>
      <w:lvlJc w:val="left"/>
      <w:pPr>
        <w:ind w:left="557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3DAC5938">
      <w:start w:val="1"/>
      <w:numFmt w:val="lowerLetter"/>
      <w:lvlText w:val="%8"/>
      <w:lvlJc w:val="left"/>
      <w:pPr>
        <w:ind w:left="629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19AE9C6C">
      <w:start w:val="1"/>
      <w:numFmt w:val="lowerRoman"/>
      <w:lvlText w:val="%9"/>
      <w:lvlJc w:val="left"/>
      <w:pPr>
        <w:ind w:left="701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4C453F"/>
    <w:multiLevelType w:val="hybridMultilevel"/>
    <w:tmpl w:val="65E6A0B0"/>
    <w:lvl w:ilvl="0" w:tplc="04326134">
      <w:start w:val="1"/>
      <w:numFmt w:val="bullet"/>
      <w:lvlText w:val="o"/>
      <w:lvlJc w:val="left"/>
      <w:pPr>
        <w:ind w:left="1425"/>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lvl w:ilvl="1" w:tplc="925C75C6">
      <w:start w:val="1"/>
      <w:numFmt w:val="bullet"/>
      <w:lvlText w:val="o"/>
      <w:lvlJc w:val="left"/>
      <w:pPr>
        <w:ind w:left="2160"/>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lvl w:ilvl="2" w:tplc="9286B6D8">
      <w:start w:val="1"/>
      <w:numFmt w:val="bullet"/>
      <w:lvlText w:val="▪"/>
      <w:lvlJc w:val="left"/>
      <w:pPr>
        <w:ind w:left="2880"/>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lvl w:ilvl="3" w:tplc="18B40DA0">
      <w:start w:val="1"/>
      <w:numFmt w:val="bullet"/>
      <w:lvlText w:val="•"/>
      <w:lvlJc w:val="left"/>
      <w:pPr>
        <w:ind w:left="3600"/>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lvl w:ilvl="4" w:tplc="2800D0B4">
      <w:start w:val="1"/>
      <w:numFmt w:val="bullet"/>
      <w:lvlText w:val="o"/>
      <w:lvlJc w:val="left"/>
      <w:pPr>
        <w:ind w:left="4320"/>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lvl w:ilvl="5" w:tplc="38160E46">
      <w:start w:val="1"/>
      <w:numFmt w:val="bullet"/>
      <w:lvlText w:val="▪"/>
      <w:lvlJc w:val="left"/>
      <w:pPr>
        <w:ind w:left="5040"/>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lvl w:ilvl="6" w:tplc="EDFEABB2">
      <w:start w:val="1"/>
      <w:numFmt w:val="bullet"/>
      <w:lvlText w:val="•"/>
      <w:lvlJc w:val="left"/>
      <w:pPr>
        <w:ind w:left="5760"/>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lvl w:ilvl="7" w:tplc="48CAD4B8">
      <w:start w:val="1"/>
      <w:numFmt w:val="bullet"/>
      <w:lvlText w:val="o"/>
      <w:lvlJc w:val="left"/>
      <w:pPr>
        <w:ind w:left="6480"/>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lvl w:ilvl="8" w:tplc="3EA0D95C">
      <w:start w:val="1"/>
      <w:numFmt w:val="bullet"/>
      <w:lvlText w:val="▪"/>
      <w:lvlJc w:val="left"/>
      <w:pPr>
        <w:ind w:left="7200"/>
      </w:pPr>
      <w:rPr>
        <w:rFonts w:ascii="Courier New" w:eastAsia="Courier New" w:hAnsi="Courier New" w:cs="Courier New"/>
        <w:b w:val="0"/>
        <w:i w:val="0"/>
        <w:strike w:val="0"/>
        <w:dstrike w:val="0"/>
        <w:color w:val="C04908"/>
        <w:sz w:val="28"/>
        <w:szCs w:val="28"/>
        <w:u w:val="none" w:color="000000"/>
        <w:bdr w:val="none" w:sz="0" w:space="0" w:color="auto"/>
        <w:shd w:val="clear" w:color="auto" w:fill="auto"/>
        <w:vertAlign w:val="baseline"/>
      </w:rPr>
    </w:lvl>
  </w:abstractNum>
  <w:abstractNum w:abstractNumId="4" w15:restartNumberingAfterBreak="0">
    <w:nsid w:val="11232D02"/>
    <w:multiLevelType w:val="hybridMultilevel"/>
    <w:tmpl w:val="E09C6856"/>
    <w:lvl w:ilvl="0" w:tplc="2DEAF266">
      <w:start w:val="1"/>
      <w:numFmt w:val="upperLetter"/>
      <w:lvlText w:val="%1."/>
      <w:lvlJc w:val="left"/>
      <w:pPr>
        <w:ind w:left="9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84A88A2">
      <w:start w:val="1"/>
      <w:numFmt w:val="lowerLetter"/>
      <w:lvlText w:val="%2"/>
      <w:lvlJc w:val="left"/>
      <w:pPr>
        <w:ind w:left="15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5FE72F6">
      <w:start w:val="1"/>
      <w:numFmt w:val="lowerRoman"/>
      <w:lvlText w:val="%3"/>
      <w:lvlJc w:val="left"/>
      <w:pPr>
        <w:ind w:left="227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C706EF0">
      <w:start w:val="1"/>
      <w:numFmt w:val="decimal"/>
      <w:lvlText w:val="%4"/>
      <w:lvlJc w:val="left"/>
      <w:pPr>
        <w:ind w:left="29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B9CFE04">
      <w:start w:val="1"/>
      <w:numFmt w:val="lowerLetter"/>
      <w:lvlText w:val="%5"/>
      <w:lvlJc w:val="left"/>
      <w:pPr>
        <w:ind w:left="371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64CEF00">
      <w:start w:val="1"/>
      <w:numFmt w:val="lowerRoman"/>
      <w:lvlText w:val="%6"/>
      <w:lvlJc w:val="left"/>
      <w:pPr>
        <w:ind w:left="44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D3E0134">
      <w:start w:val="1"/>
      <w:numFmt w:val="decimal"/>
      <w:lvlText w:val="%7"/>
      <w:lvlJc w:val="left"/>
      <w:pPr>
        <w:ind w:left="51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8FE71D0">
      <w:start w:val="1"/>
      <w:numFmt w:val="lowerLetter"/>
      <w:lvlText w:val="%8"/>
      <w:lvlJc w:val="left"/>
      <w:pPr>
        <w:ind w:left="587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25A589C">
      <w:start w:val="1"/>
      <w:numFmt w:val="lowerRoman"/>
      <w:lvlText w:val="%9"/>
      <w:lvlJc w:val="left"/>
      <w:pPr>
        <w:ind w:left="65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5865BF0"/>
    <w:multiLevelType w:val="hybridMultilevel"/>
    <w:tmpl w:val="7E4CCA14"/>
    <w:lvl w:ilvl="0" w:tplc="DC52D62C">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D5E8A908">
      <w:start w:val="1"/>
      <w:numFmt w:val="lowerLetter"/>
      <w:lvlText w:val="%2"/>
      <w:lvlJc w:val="left"/>
      <w:pPr>
        <w:ind w:left="28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15DC0EA6">
      <w:start w:val="1"/>
      <w:numFmt w:val="lowerRoman"/>
      <w:lvlText w:val="%3"/>
      <w:lvlJc w:val="left"/>
      <w:pPr>
        <w:ind w:left="36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3BF45310">
      <w:start w:val="1"/>
      <w:numFmt w:val="decimal"/>
      <w:lvlText w:val="%4"/>
      <w:lvlJc w:val="left"/>
      <w:pPr>
        <w:ind w:left="43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0D863592">
      <w:start w:val="1"/>
      <w:numFmt w:val="lowerLetter"/>
      <w:lvlText w:val="%5"/>
      <w:lvlJc w:val="left"/>
      <w:pPr>
        <w:ind w:left="50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90B84E68">
      <w:start w:val="1"/>
      <w:numFmt w:val="lowerRoman"/>
      <w:lvlText w:val="%6"/>
      <w:lvlJc w:val="left"/>
      <w:pPr>
        <w:ind w:left="57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6EC279D8">
      <w:start w:val="1"/>
      <w:numFmt w:val="decimal"/>
      <w:lvlText w:val="%7"/>
      <w:lvlJc w:val="left"/>
      <w:pPr>
        <w:ind w:left="64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AED47DC4">
      <w:start w:val="1"/>
      <w:numFmt w:val="lowerLetter"/>
      <w:lvlText w:val="%8"/>
      <w:lvlJc w:val="left"/>
      <w:pPr>
        <w:ind w:left="72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672A308E">
      <w:start w:val="1"/>
      <w:numFmt w:val="lowerRoman"/>
      <w:lvlText w:val="%9"/>
      <w:lvlJc w:val="left"/>
      <w:pPr>
        <w:ind w:left="79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FD17C8"/>
    <w:multiLevelType w:val="hybridMultilevel"/>
    <w:tmpl w:val="31B8C782"/>
    <w:lvl w:ilvl="0" w:tplc="41F01D58">
      <w:start w:val="1"/>
      <w:numFmt w:val="bullet"/>
      <w:lvlText w:val="•"/>
      <w:lvlJc w:val="left"/>
      <w:pPr>
        <w:ind w:left="1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86FA7A">
      <w:start w:val="1"/>
      <w:numFmt w:val="bullet"/>
      <w:lvlText w:val="o"/>
      <w:lvlJc w:val="left"/>
      <w:pPr>
        <w:ind w:left="18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9A3578">
      <w:start w:val="1"/>
      <w:numFmt w:val="bullet"/>
      <w:lvlText w:val="▪"/>
      <w:lvlJc w:val="left"/>
      <w:pPr>
        <w:ind w:left="2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DB65C98">
      <w:start w:val="1"/>
      <w:numFmt w:val="bullet"/>
      <w:lvlText w:val="•"/>
      <w:lvlJc w:val="left"/>
      <w:pPr>
        <w:ind w:left="3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2AC8B4">
      <w:start w:val="1"/>
      <w:numFmt w:val="bullet"/>
      <w:lvlText w:val="o"/>
      <w:lvlJc w:val="left"/>
      <w:pPr>
        <w:ind w:left="40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880D5E">
      <w:start w:val="1"/>
      <w:numFmt w:val="bullet"/>
      <w:lvlText w:val="▪"/>
      <w:lvlJc w:val="left"/>
      <w:pPr>
        <w:ind w:left="47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0383A8A">
      <w:start w:val="1"/>
      <w:numFmt w:val="bullet"/>
      <w:lvlText w:val="•"/>
      <w:lvlJc w:val="left"/>
      <w:pPr>
        <w:ind w:left="5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5A3EF2">
      <w:start w:val="1"/>
      <w:numFmt w:val="bullet"/>
      <w:lvlText w:val="o"/>
      <w:lvlJc w:val="left"/>
      <w:pPr>
        <w:ind w:left="61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F6D21E">
      <w:start w:val="1"/>
      <w:numFmt w:val="bullet"/>
      <w:lvlText w:val="▪"/>
      <w:lvlJc w:val="left"/>
      <w:pPr>
        <w:ind w:left="6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F967651"/>
    <w:multiLevelType w:val="hybridMultilevel"/>
    <w:tmpl w:val="955443CE"/>
    <w:lvl w:ilvl="0" w:tplc="A5E82EC6">
      <w:start w:val="1"/>
      <w:numFmt w:val="bullet"/>
      <w:lvlText w:val="o"/>
      <w:lvlJc w:val="left"/>
      <w:pPr>
        <w:ind w:left="1164"/>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lvl w:ilvl="1" w:tplc="C5062D04">
      <w:start w:val="1"/>
      <w:numFmt w:val="bullet"/>
      <w:lvlText w:val="o"/>
      <w:lvlJc w:val="left"/>
      <w:pPr>
        <w:ind w:left="2066"/>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lvl w:ilvl="2" w:tplc="6A526A38">
      <w:start w:val="1"/>
      <w:numFmt w:val="bullet"/>
      <w:lvlText w:val="▪"/>
      <w:lvlJc w:val="left"/>
      <w:pPr>
        <w:ind w:left="2786"/>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lvl w:ilvl="3" w:tplc="531817BC">
      <w:start w:val="1"/>
      <w:numFmt w:val="bullet"/>
      <w:lvlText w:val="•"/>
      <w:lvlJc w:val="left"/>
      <w:pPr>
        <w:ind w:left="3506"/>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lvl w:ilvl="4" w:tplc="C7F48AEC">
      <w:start w:val="1"/>
      <w:numFmt w:val="bullet"/>
      <w:lvlText w:val="o"/>
      <w:lvlJc w:val="left"/>
      <w:pPr>
        <w:ind w:left="4226"/>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lvl w:ilvl="5" w:tplc="24787C38">
      <w:start w:val="1"/>
      <w:numFmt w:val="bullet"/>
      <w:lvlText w:val="▪"/>
      <w:lvlJc w:val="left"/>
      <w:pPr>
        <w:ind w:left="4946"/>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lvl w:ilvl="6" w:tplc="DB803C54">
      <w:start w:val="1"/>
      <w:numFmt w:val="bullet"/>
      <w:lvlText w:val="•"/>
      <w:lvlJc w:val="left"/>
      <w:pPr>
        <w:ind w:left="5666"/>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lvl w:ilvl="7" w:tplc="C7FEF1CC">
      <w:start w:val="1"/>
      <w:numFmt w:val="bullet"/>
      <w:lvlText w:val="o"/>
      <w:lvlJc w:val="left"/>
      <w:pPr>
        <w:ind w:left="6386"/>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lvl w:ilvl="8" w:tplc="C8E8E780">
      <w:start w:val="1"/>
      <w:numFmt w:val="bullet"/>
      <w:lvlText w:val="▪"/>
      <w:lvlJc w:val="left"/>
      <w:pPr>
        <w:ind w:left="7106"/>
      </w:pPr>
      <w:rPr>
        <w:rFonts w:ascii="Courier New" w:eastAsia="Courier New" w:hAnsi="Courier New" w:cs="Courier New"/>
        <w:b w:val="0"/>
        <w:i w:val="0"/>
        <w:strike w:val="0"/>
        <w:dstrike w:val="0"/>
        <w:color w:val="363636"/>
        <w:sz w:val="21"/>
        <w:szCs w:val="21"/>
        <w:u w:val="none" w:color="000000"/>
        <w:bdr w:val="none" w:sz="0" w:space="0" w:color="auto"/>
        <w:shd w:val="clear" w:color="auto" w:fill="auto"/>
        <w:vertAlign w:val="baseline"/>
      </w:rPr>
    </w:lvl>
  </w:abstractNum>
  <w:abstractNum w:abstractNumId="8" w15:restartNumberingAfterBreak="0">
    <w:nsid w:val="22640EBD"/>
    <w:multiLevelType w:val="hybridMultilevel"/>
    <w:tmpl w:val="48E4AA3E"/>
    <w:lvl w:ilvl="0" w:tplc="911421F6">
      <w:start w:val="13"/>
      <w:numFmt w:val="decimal"/>
      <w:lvlText w:val="%1."/>
      <w:lvlJc w:val="left"/>
      <w:pPr>
        <w:ind w:left="144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1" w:tplc="35DA4C1A">
      <w:start w:val="1"/>
      <w:numFmt w:val="lowerLetter"/>
      <w:lvlText w:val="%2"/>
      <w:lvlJc w:val="left"/>
      <w:pPr>
        <w:ind w:left="189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2" w:tplc="1A1C117C">
      <w:start w:val="1"/>
      <w:numFmt w:val="lowerRoman"/>
      <w:lvlText w:val="%3"/>
      <w:lvlJc w:val="left"/>
      <w:pPr>
        <w:ind w:left="261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3" w:tplc="1BBC8420">
      <w:start w:val="1"/>
      <w:numFmt w:val="decimal"/>
      <w:lvlText w:val="%4"/>
      <w:lvlJc w:val="left"/>
      <w:pPr>
        <w:ind w:left="333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4" w:tplc="366AC758">
      <w:start w:val="1"/>
      <w:numFmt w:val="lowerLetter"/>
      <w:lvlText w:val="%5"/>
      <w:lvlJc w:val="left"/>
      <w:pPr>
        <w:ind w:left="405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5" w:tplc="36F25C9E">
      <w:start w:val="1"/>
      <w:numFmt w:val="lowerRoman"/>
      <w:lvlText w:val="%6"/>
      <w:lvlJc w:val="left"/>
      <w:pPr>
        <w:ind w:left="477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6" w:tplc="959AC6CA">
      <w:start w:val="1"/>
      <w:numFmt w:val="decimal"/>
      <w:lvlText w:val="%7"/>
      <w:lvlJc w:val="left"/>
      <w:pPr>
        <w:ind w:left="549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7" w:tplc="D82E1038">
      <w:start w:val="1"/>
      <w:numFmt w:val="lowerLetter"/>
      <w:lvlText w:val="%8"/>
      <w:lvlJc w:val="left"/>
      <w:pPr>
        <w:ind w:left="621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8" w:tplc="77080616">
      <w:start w:val="1"/>
      <w:numFmt w:val="lowerRoman"/>
      <w:lvlText w:val="%9"/>
      <w:lvlJc w:val="left"/>
      <w:pPr>
        <w:ind w:left="693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2A55D5B"/>
    <w:multiLevelType w:val="hybridMultilevel"/>
    <w:tmpl w:val="4678ED18"/>
    <w:lvl w:ilvl="0" w:tplc="743CB936">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CE46CFC2">
      <w:start w:val="1"/>
      <w:numFmt w:val="lowerLetter"/>
      <w:lvlText w:val="%2"/>
      <w:lvlJc w:val="left"/>
      <w:pPr>
        <w:ind w:left="247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F30A7F6C">
      <w:start w:val="1"/>
      <w:numFmt w:val="lowerRoman"/>
      <w:lvlText w:val="%3"/>
      <w:lvlJc w:val="left"/>
      <w:pPr>
        <w:ind w:left="319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C9D0C1FE">
      <w:start w:val="1"/>
      <w:numFmt w:val="decimal"/>
      <w:lvlText w:val="%4"/>
      <w:lvlJc w:val="left"/>
      <w:pPr>
        <w:ind w:left="391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AF700FB8">
      <w:start w:val="1"/>
      <w:numFmt w:val="lowerLetter"/>
      <w:lvlText w:val="%5"/>
      <w:lvlJc w:val="left"/>
      <w:pPr>
        <w:ind w:left="463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4E52363E">
      <w:start w:val="1"/>
      <w:numFmt w:val="lowerRoman"/>
      <w:lvlText w:val="%6"/>
      <w:lvlJc w:val="left"/>
      <w:pPr>
        <w:ind w:left="535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3DA65976">
      <w:start w:val="1"/>
      <w:numFmt w:val="decimal"/>
      <w:lvlText w:val="%7"/>
      <w:lvlJc w:val="left"/>
      <w:pPr>
        <w:ind w:left="607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A17A4572">
      <w:start w:val="1"/>
      <w:numFmt w:val="lowerLetter"/>
      <w:lvlText w:val="%8"/>
      <w:lvlJc w:val="left"/>
      <w:pPr>
        <w:ind w:left="679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BB4E3928">
      <w:start w:val="1"/>
      <w:numFmt w:val="lowerRoman"/>
      <w:lvlText w:val="%9"/>
      <w:lvlJc w:val="left"/>
      <w:pPr>
        <w:ind w:left="751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3856ABE"/>
    <w:multiLevelType w:val="hybridMultilevel"/>
    <w:tmpl w:val="76A2A4FC"/>
    <w:lvl w:ilvl="0" w:tplc="DED084BC">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E0C9BAC">
      <w:start w:val="1"/>
      <w:numFmt w:val="decimal"/>
      <w:lvlText w:val="%2."/>
      <w:lvlJc w:val="left"/>
      <w:pPr>
        <w:ind w:left="14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3BE027E">
      <w:start w:val="1"/>
      <w:numFmt w:val="lowerRoman"/>
      <w:lvlText w:val="%3"/>
      <w:lvlJc w:val="left"/>
      <w:pPr>
        <w:ind w:left="20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5B077C4">
      <w:start w:val="1"/>
      <w:numFmt w:val="decimal"/>
      <w:lvlText w:val="%4"/>
      <w:lvlJc w:val="left"/>
      <w:pPr>
        <w:ind w:left="27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8142BAC">
      <w:start w:val="1"/>
      <w:numFmt w:val="lowerLetter"/>
      <w:lvlText w:val="%5"/>
      <w:lvlJc w:val="left"/>
      <w:pPr>
        <w:ind w:left="34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59C5860">
      <w:start w:val="1"/>
      <w:numFmt w:val="lowerRoman"/>
      <w:lvlText w:val="%6"/>
      <w:lvlJc w:val="left"/>
      <w:pPr>
        <w:ind w:left="41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8443048">
      <w:start w:val="1"/>
      <w:numFmt w:val="decimal"/>
      <w:lvlText w:val="%7"/>
      <w:lvlJc w:val="left"/>
      <w:pPr>
        <w:ind w:left="49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28CF64C">
      <w:start w:val="1"/>
      <w:numFmt w:val="lowerLetter"/>
      <w:lvlText w:val="%8"/>
      <w:lvlJc w:val="left"/>
      <w:pPr>
        <w:ind w:left="56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B80ABF2">
      <w:start w:val="1"/>
      <w:numFmt w:val="lowerRoman"/>
      <w:lvlText w:val="%9"/>
      <w:lvlJc w:val="left"/>
      <w:pPr>
        <w:ind w:left="63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5B66BF2"/>
    <w:multiLevelType w:val="hybridMultilevel"/>
    <w:tmpl w:val="DF928A96"/>
    <w:lvl w:ilvl="0" w:tplc="FCEEFF18">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C9E03EBC">
      <w:start w:val="1"/>
      <w:numFmt w:val="lowerLetter"/>
      <w:lvlText w:val="%2"/>
      <w:lvlJc w:val="left"/>
      <w:pPr>
        <w:ind w:left="28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29946C8C">
      <w:start w:val="1"/>
      <w:numFmt w:val="lowerRoman"/>
      <w:lvlText w:val="%3"/>
      <w:lvlJc w:val="left"/>
      <w:pPr>
        <w:ind w:left="36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8FF64FB8">
      <w:start w:val="1"/>
      <w:numFmt w:val="decimal"/>
      <w:lvlText w:val="%4"/>
      <w:lvlJc w:val="left"/>
      <w:pPr>
        <w:ind w:left="43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BF862D2A">
      <w:start w:val="1"/>
      <w:numFmt w:val="lowerLetter"/>
      <w:lvlText w:val="%5"/>
      <w:lvlJc w:val="left"/>
      <w:pPr>
        <w:ind w:left="50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280E119A">
      <w:start w:val="1"/>
      <w:numFmt w:val="lowerRoman"/>
      <w:lvlText w:val="%6"/>
      <w:lvlJc w:val="left"/>
      <w:pPr>
        <w:ind w:left="57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8294F134">
      <w:start w:val="1"/>
      <w:numFmt w:val="decimal"/>
      <w:lvlText w:val="%7"/>
      <w:lvlJc w:val="left"/>
      <w:pPr>
        <w:ind w:left="64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179E90F4">
      <w:start w:val="1"/>
      <w:numFmt w:val="lowerLetter"/>
      <w:lvlText w:val="%8"/>
      <w:lvlJc w:val="left"/>
      <w:pPr>
        <w:ind w:left="72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636A6E3C">
      <w:start w:val="1"/>
      <w:numFmt w:val="lowerRoman"/>
      <w:lvlText w:val="%9"/>
      <w:lvlJc w:val="left"/>
      <w:pPr>
        <w:ind w:left="79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6CB6B0E"/>
    <w:multiLevelType w:val="hybridMultilevel"/>
    <w:tmpl w:val="80BE7A68"/>
    <w:lvl w:ilvl="0" w:tplc="75A23380">
      <w:start w:val="1"/>
      <w:numFmt w:val="upperLetter"/>
      <w:lvlText w:val="%1."/>
      <w:lvlJc w:val="left"/>
      <w:pPr>
        <w:ind w:left="9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9674A6">
      <w:start w:val="1"/>
      <w:numFmt w:val="decimal"/>
      <w:lvlText w:val="%2."/>
      <w:lvlJc w:val="left"/>
      <w:pPr>
        <w:ind w:left="14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2297BC">
      <w:start w:val="1"/>
      <w:numFmt w:val="lowerRoman"/>
      <w:lvlText w:val="%3"/>
      <w:lvlJc w:val="left"/>
      <w:pPr>
        <w:ind w:left="20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AB8711E">
      <w:start w:val="1"/>
      <w:numFmt w:val="decimal"/>
      <w:lvlText w:val="%4"/>
      <w:lvlJc w:val="left"/>
      <w:pPr>
        <w:ind w:left="27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BCE5EAC">
      <w:start w:val="1"/>
      <w:numFmt w:val="lowerLetter"/>
      <w:lvlText w:val="%5"/>
      <w:lvlJc w:val="left"/>
      <w:pPr>
        <w:ind w:left="34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22CA650">
      <w:start w:val="1"/>
      <w:numFmt w:val="lowerRoman"/>
      <w:lvlText w:val="%6"/>
      <w:lvlJc w:val="left"/>
      <w:pPr>
        <w:ind w:left="41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15295FC">
      <w:start w:val="1"/>
      <w:numFmt w:val="decimal"/>
      <w:lvlText w:val="%7"/>
      <w:lvlJc w:val="left"/>
      <w:pPr>
        <w:ind w:left="49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8841A1C">
      <w:start w:val="1"/>
      <w:numFmt w:val="lowerLetter"/>
      <w:lvlText w:val="%8"/>
      <w:lvlJc w:val="left"/>
      <w:pPr>
        <w:ind w:left="56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BA82AB6">
      <w:start w:val="1"/>
      <w:numFmt w:val="lowerRoman"/>
      <w:lvlText w:val="%9"/>
      <w:lvlJc w:val="left"/>
      <w:pPr>
        <w:ind w:left="63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99B6C54"/>
    <w:multiLevelType w:val="hybridMultilevel"/>
    <w:tmpl w:val="5664C942"/>
    <w:lvl w:ilvl="0" w:tplc="8F30CF74">
      <w:start w:val="1"/>
      <w:numFmt w:val="lowerLetter"/>
      <w:lvlText w:val="%1."/>
      <w:lvlJc w:val="left"/>
      <w:pPr>
        <w:ind w:left="214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1" w:tplc="4410A636">
      <w:start w:val="1"/>
      <w:numFmt w:val="lowerLetter"/>
      <w:lvlText w:val="%2"/>
      <w:lvlJc w:val="left"/>
      <w:pPr>
        <w:ind w:left="197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2" w:tplc="11040686">
      <w:start w:val="1"/>
      <w:numFmt w:val="lowerRoman"/>
      <w:lvlText w:val="%3"/>
      <w:lvlJc w:val="left"/>
      <w:pPr>
        <w:ind w:left="269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3" w:tplc="98FEB94E">
      <w:start w:val="1"/>
      <w:numFmt w:val="decimal"/>
      <w:lvlText w:val="%4"/>
      <w:lvlJc w:val="left"/>
      <w:pPr>
        <w:ind w:left="341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4" w:tplc="5F361D16">
      <w:start w:val="1"/>
      <w:numFmt w:val="lowerLetter"/>
      <w:lvlText w:val="%5"/>
      <w:lvlJc w:val="left"/>
      <w:pPr>
        <w:ind w:left="413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5" w:tplc="157EEAB6">
      <w:start w:val="1"/>
      <w:numFmt w:val="lowerRoman"/>
      <w:lvlText w:val="%6"/>
      <w:lvlJc w:val="left"/>
      <w:pPr>
        <w:ind w:left="485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6" w:tplc="D9A88932">
      <w:start w:val="1"/>
      <w:numFmt w:val="decimal"/>
      <w:lvlText w:val="%7"/>
      <w:lvlJc w:val="left"/>
      <w:pPr>
        <w:ind w:left="557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7" w:tplc="EB98C4F2">
      <w:start w:val="1"/>
      <w:numFmt w:val="lowerLetter"/>
      <w:lvlText w:val="%8"/>
      <w:lvlJc w:val="left"/>
      <w:pPr>
        <w:ind w:left="629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8" w:tplc="EAE84FE8">
      <w:start w:val="1"/>
      <w:numFmt w:val="lowerRoman"/>
      <w:lvlText w:val="%9"/>
      <w:lvlJc w:val="left"/>
      <w:pPr>
        <w:ind w:left="701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D030892"/>
    <w:multiLevelType w:val="hybridMultilevel"/>
    <w:tmpl w:val="E44E26C6"/>
    <w:lvl w:ilvl="0" w:tplc="E7148016">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430A3D3C">
      <w:start w:val="1"/>
      <w:numFmt w:val="lowerLetter"/>
      <w:lvlText w:val="%2"/>
      <w:lvlJc w:val="left"/>
      <w:pPr>
        <w:ind w:left="242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9C029590">
      <w:start w:val="1"/>
      <w:numFmt w:val="lowerRoman"/>
      <w:lvlText w:val="%3"/>
      <w:lvlJc w:val="left"/>
      <w:pPr>
        <w:ind w:left="314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352EA7C2">
      <w:start w:val="1"/>
      <w:numFmt w:val="decimal"/>
      <w:lvlText w:val="%4"/>
      <w:lvlJc w:val="left"/>
      <w:pPr>
        <w:ind w:left="386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44A27EBC">
      <w:start w:val="1"/>
      <w:numFmt w:val="lowerLetter"/>
      <w:lvlText w:val="%5"/>
      <w:lvlJc w:val="left"/>
      <w:pPr>
        <w:ind w:left="458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94B0D05C">
      <w:start w:val="1"/>
      <w:numFmt w:val="lowerRoman"/>
      <w:lvlText w:val="%6"/>
      <w:lvlJc w:val="left"/>
      <w:pPr>
        <w:ind w:left="530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FD3A2254">
      <w:start w:val="1"/>
      <w:numFmt w:val="decimal"/>
      <w:lvlText w:val="%7"/>
      <w:lvlJc w:val="left"/>
      <w:pPr>
        <w:ind w:left="602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53C2B50C">
      <w:start w:val="1"/>
      <w:numFmt w:val="lowerLetter"/>
      <w:lvlText w:val="%8"/>
      <w:lvlJc w:val="left"/>
      <w:pPr>
        <w:ind w:left="674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234A2CC8">
      <w:start w:val="1"/>
      <w:numFmt w:val="lowerRoman"/>
      <w:lvlText w:val="%9"/>
      <w:lvlJc w:val="left"/>
      <w:pPr>
        <w:ind w:left="746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F8B169C"/>
    <w:multiLevelType w:val="hybridMultilevel"/>
    <w:tmpl w:val="22403876"/>
    <w:lvl w:ilvl="0" w:tplc="5336D908">
      <w:start w:val="1"/>
      <w:numFmt w:val="upperLetter"/>
      <w:lvlText w:val="%1."/>
      <w:lvlJc w:val="left"/>
      <w:pPr>
        <w:ind w:left="9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03C2F9E">
      <w:start w:val="1"/>
      <w:numFmt w:val="lowerLetter"/>
      <w:lvlText w:val="%2"/>
      <w:lvlJc w:val="left"/>
      <w:pPr>
        <w:ind w:left="15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8A80FAC">
      <w:start w:val="1"/>
      <w:numFmt w:val="lowerRoman"/>
      <w:lvlText w:val="%3"/>
      <w:lvlJc w:val="left"/>
      <w:pPr>
        <w:ind w:left="227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E4881F4">
      <w:start w:val="1"/>
      <w:numFmt w:val="decimal"/>
      <w:lvlText w:val="%4"/>
      <w:lvlJc w:val="left"/>
      <w:pPr>
        <w:ind w:left="29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D9C5C9A">
      <w:start w:val="1"/>
      <w:numFmt w:val="lowerLetter"/>
      <w:lvlText w:val="%5"/>
      <w:lvlJc w:val="left"/>
      <w:pPr>
        <w:ind w:left="371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16AAC6C">
      <w:start w:val="1"/>
      <w:numFmt w:val="lowerRoman"/>
      <w:lvlText w:val="%6"/>
      <w:lvlJc w:val="left"/>
      <w:pPr>
        <w:ind w:left="44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A72A176">
      <w:start w:val="1"/>
      <w:numFmt w:val="decimal"/>
      <w:lvlText w:val="%7"/>
      <w:lvlJc w:val="left"/>
      <w:pPr>
        <w:ind w:left="51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9206C76">
      <w:start w:val="1"/>
      <w:numFmt w:val="lowerLetter"/>
      <w:lvlText w:val="%8"/>
      <w:lvlJc w:val="left"/>
      <w:pPr>
        <w:ind w:left="587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CE84B46">
      <w:start w:val="1"/>
      <w:numFmt w:val="lowerRoman"/>
      <w:lvlText w:val="%9"/>
      <w:lvlJc w:val="left"/>
      <w:pPr>
        <w:ind w:left="65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FD94CD7"/>
    <w:multiLevelType w:val="hybridMultilevel"/>
    <w:tmpl w:val="27984CCC"/>
    <w:lvl w:ilvl="0" w:tplc="7D9E8F2C">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E8590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23A3A5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0E47E8A">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661B84">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0784D4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D08C10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1CB77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A698F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0741094"/>
    <w:multiLevelType w:val="hybridMultilevel"/>
    <w:tmpl w:val="3C2A7098"/>
    <w:lvl w:ilvl="0" w:tplc="07BAEAB6">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EFB6A984">
      <w:start w:val="1"/>
      <w:numFmt w:val="lowerLetter"/>
      <w:lvlText w:val="%2"/>
      <w:lvlJc w:val="left"/>
      <w:pPr>
        <w:ind w:left="207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D9CCE156">
      <w:start w:val="1"/>
      <w:numFmt w:val="lowerRoman"/>
      <w:lvlText w:val="%3"/>
      <w:lvlJc w:val="left"/>
      <w:pPr>
        <w:ind w:left="279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30ACBB64">
      <w:start w:val="1"/>
      <w:numFmt w:val="decimal"/>
      <w:lvlText w:val="%4"/>
      <w:lvlJc w:val="left"/>
      <w:pPr>
        <w:ind w:left="351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652223E6">
      <w:start w:val="1"/>
      <w:numFmt w:val="lowerLetter"/>
      <w:lvlText w:val="%5"/>
      <w:lvlJc w:val="left"/>
      <w:pPr>
        <w:ind w:left="423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869A5E28">
      <w:start w:val="1"/>
      <w:numFmt w:val="lowerRoman"/>
      <w:lvlText w:val="%6"/>
      <w:lvlJc w:val="left"/>
      <w:pPr>
        <w:ind w:left="495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937CAAFA">
      <w:start w:val="1"/>
      <w:numFmt w:val="decimal"/>
      <w:lvlText w:val="%7"/>
      <w:lvlJc w:val="left"/>
      <w:pPr>
        <w:ind w:left="567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DE4A6ECC">
      <w:start w:val="1"/>
      <w:numFmt w:val="lowerLetter"/>
      <w:lvlText w:val="%8"/>
      <w:lvlJc w:val="left"/>
      <w:pPr>
        <w:ind w:left="639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159EB076">
      <w:start w:val="1"/>
      <w:numFmt w:val="lowerRoman"/>
      <w:lvlText w:val="%9"/>
      <w:lvlJc w:val="left"/>
      <w:pPr>
        <w:ind w:left="711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1885B34"/>
    <w:multiLevelType w:val="hybridMultilevel"/>
    <w:tmpl w:val="3210E5EE"/>
    <w:lvl w:ilvl="0" w:tplc="6B760428">
      <w:start w:val="1"/>
      <w:numFmt w:val="decimal"/>
      <w:lvlText w:val="%1."/>
      <w:lvlJc w:val="left"/>
      <w:pPr>
        <w:ind w:left="11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CE6E96">
      <w:start w:val="1"/>
      <w:numFmt w:val="lowerLetter"/>
      <w:lvlText w:val="%2"/>
      <w:lvlJc w:val="left"/>
      <w:pPr>
        <w:ind w:left="20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6FAA0F0">
      <w:start w:val="1"/>
      <w:numFmt w:val="lowerRoman"/>
      <w:lvlText w:val="%3"/>
      <w:lvlJc w:val="left"/>
      <w:pPr>
        <w:ind w:left="27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7F6CB38">
      <w:start w:val="1"/>
      <w:numFmt w:val="decimal"/>
      <w:lvlText w:val="%4"/>
      <w:lvlJc w:val="left"/>
      <w:pPr>
        <w:ind w:left="34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6A2FDB8">
      <w:start w:val="1"/>
      <w:numFmt w:val="lowerLetter"/>
      <w:lvlText w:val="%5"/>
      <w:lvlJc w:val="left"/>
      <w:pPr>
        <w:ind w:left="41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2B6ACF8">
      <w:start w:val="1"/>
      <w:numFmt w:val="lowerRoman"/>
      <w:lvlText w:val="%6"/>
      <w:lvlJc w:val="left"/>
      <w:pPr>
        <w:ind w:left="49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1006E98">
      <w:start w:val="1"/>
      <w:numFmt w:val="decimal"/>
      <w:lvlText w:val="%7"/>
      <w:lvlJc w:val="left"/>
      <w:pPr>
        <w:ind w:left="56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7EAA9D2">
      <w:start w:val="1"/>
      <w:numFmt w:val="lowerLetter"/>
      <w:lvlText w:val="%8"/>
      <w:lvlJc w:val="left"/>
      <w:pPr>
        <w:ind w:left="63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D1A4EA2">
      <w:start w:val="1"/>
      <w:numFmt w:val="lowerRoman"/>
      <w:lvlText w:val="%9"/>
      <w:lvlJc w:val="left"/>
      <w:pPr>
        <w:ind w:left="70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2CE3599"/>
    <w:multiLevelType w:val="hybridMultilevel"/>
    <w:tmpl w:val="DD16379A"/>
    <w:lvl w:ilvl="0" w:tplc="6ACCAD24">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DDE2D682">
      <w:start w:val="1"/>
      <w:numFmt w:val="lowerLetter"/>
      <w:lvlText w:val="%2"/>
      <w:lvlJc w:val="left"/>
      <w:pPr>
        <w:ind w:left="207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B5B433A6">
      <w:start w:val="1"/>
      <w:numFmt w:val="lowerRoman"/>
      <w:lvlText w:val="%3"/>
      <w:lvlJc w:val="left"/>
      <w:pPr>
        <w:ind w:left="279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DD9420FA">
      <w:start w:val="1"/>
      <w:numFmt w:val="decimal"/>
      <w:lvlText w:val="%4"/>
      <w:lvlJc w:val="left"/>
      <w:pPr>
        <w:ind w:left="351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63F65F0A">
      <w:start w:val="1"/>
      <w:numFmt w:val="lowerLetter"/>
      <w:lvlText w:val="%5"/>
      <w:lvlJc w:val="left"/>
      <w:pPr>
        <w:ind w:left="423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85767822">
      <w:start w:val="1"/>
      <w:numFmt w:val="lowerRoman"/>
      <w:lvlText w:val="%6"/>
      <w:lvlJc w:val="left"/>
      <w:pPr>
        <w:ind w:left="495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3CB688E4">
      <w:start w:val="1"/>
      <w:numFmt w:val="decimal"/>
      <w:lvlText w:val="%7"/>
      <w:lvlJc w:val="left"/>
      <w:pPr>
        <w:ind w:left="567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2480CFF2">
      <w:start w:val="1"/>
      <w:numFmt w:val="lowerLetter"/>
      <w:lvlText w:val="%8"/>
      <w:lvlJc w:val="left"/>
      <w:pPr>
        <w:ind w:left="639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33CA5536">
      <w:start w:val="1"/>
      <w:numFmt w:val="lowerRoman"/>
      <w:lvlText w:val="%9"/>
      <w:lvlJc w:val="left"/>
      <w:pPr>
        <w:ind w:left="711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45148B1"/>
    <w:multiLevelType w:val="hybridMultilevel"/>
    <w:tmpl w:val="DFB6C980"/>
    <w:lvl w:ilvl="0" w:tplc="B1048F18">
      <w:start w:val="1"/>
      <w:numFmt w:val="upperLetter"/>
      <w:lvlText w:val="%1."/>
      <w:lvlJc w:val="left"/>
      <w:pPr>
        <w:ind w:left="720"/>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lvl w:ilvl="1" w:tplc="320EAAB8">
      <w:start w:val="1"/>
      <w:numFmt w:val="lowerLetter"/>
      <w:lvlText w:val="%2"/>
      <w:lvlJc w:val="left"/>
      <w:pPr>
        <w:ind w:left="1546"/>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lvl w:ilvl="2" w:tplc="F27E7C7A">
      <w:start w:val="1"/>
      <w:numFmt w:val="lowerRoman"/>
      <w:lvlText w:val="%3"/>
      <w:lvlJc w:val="left"/>
      <w:pPr>
        <w:ind w:left="2266"/>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lvl w:ilvl="3" w:tplc="C4F20476">
      <w:start w:val="1"/>
      <w:numFmt w:val="decimal"/>
      <w:lvlText w:val="%4"/>
      <w:lvlJc w:val="left"/>
      <w:pPr>
        <w:ind w:left="2986"/>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lvl w:ilvl="4" w:tplc="6B2CE206">
      <w:start w:val="1"/>
      <w:numFmt w:val="lowerLetter"/>
      <w:lvlText w:val="%5"/>
      <w:lvlJc w:val="left"/>
      <w:pPr>
        <w:ind w:left="3706"/>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lvl w:ilvl="5" w:tplc="B13E17D6">
      <w:start w:val="1"/>
      <w:numFmt w:val="lowerRoman"/>
      <w:lvlText w:val="%6"/>
      <w:lvlJc w:val="left"/>
      <w:pPr>
        <w:ind w:left="4426"/>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lvl w:ilvl="6" w:tplc="D312F33E">
      <w:start w:val="1"/>
      <w:numFmt w:val="decimal"/>
      <w:lvlText w:val="%7"/>
      <w:lvlJc w:val="left"/>
      <w:pPr>
        <w:ind w:left="5146"/>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lvl w:ilvl="7" w:tplc="352EB6A4">
      <w:start w:val="1"/>
      <w:numFmt w:val="lowerLetter"/>
      <w:lvlText w:val="%8"/>
      <w:lvlJc w:val="left"/>
      <w:pPr>
        <w:ind w:left="5866"/>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lvl w:ilvl="8" w:tplc="4C5A6F86">
      <w:start w:val="1"/>
      <w:numFmt w:val="lowerRoman"/>
      <w:lvlText w:val="%9"/>
      <w:lvlJc w:val="left"/>
      <w:pPr>
        <w:ind w:left="6586"/>
      </w:pPr>
      <w:rPr>
        <w:rFonts w:ascii="Calisto MT" w:eastAsia="Calisto MT" w:hAnsi="Calisto MT" w:cs="Calisto MT"/>
        <w:b w:val="0"/>
        <w:i w:val="0"/>
        <w:strike w:val="0"/>
        <w:dstrike w:val="0"/>
        <w:color w:val="363636"/>
        <w:sz w:val="24"/>
        <w:szCs w:val="24"/>
        <w:u w:val="none" w:color="000000"/>
        <w:bdr w:val="none" w:sz="0" w:space="0" w:color="auto"/>
        <w:shd w:val="clear" w:color="auto" w:fill="auto"/>
        <w:vertAlign w:val="baseline"/>
      </w:rPr>
    </w:lvl>
  </w:abstractNum>
  <w:abstractNum w:abstractNumId="21" w15:restartNumberingAfterBreak="0">
    <w:nsid w:val="3B794B8C"/>
    <w:multiLevelType w:val="hybridMultilevel"/>
    <w:tmpl w:val="1F80DD3C"/>
    <w:lvl w:ilvl="0" w:tplc="D2580EA6">
      <w:start w:val="1"/>
      <w:numFmt w:val="upperLetter"/>
      <w:lvlText w:val="%1."/>
      <w:lvlJc w:val="left"/>
      <w:pPr>
        <w:ind w:left="662"/>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lvl w:ilvl="1" w:tplc="4B185C50">
      <w:start w:val="1"/>
      <w:numFmt w:val="decimal"/>
      <w:lvlText w:val="%2."/>
      <w:lvlJc w:val="left"/>
      <w:pPr>
        <w:ind w:left="967"/>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lvl w:ilvl="2" w:tplc="D9A882B4">
      <w:start w:val="1"/>
      <w:numFmt w:val="lowerRoman"/>
      <w:lvlText w:val="%3"/>
      <w:lvlJc w:val="left"/>
      <w:pPr>
        <w:ind w:left="1908"/>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lvl w:ilvl="3" w:tplc="A596F8BC">
      <w:start w:val="1"/>
      <w:numFmt w:val="decimal"/>
      <w:lvlText w:val="%4"/>
      <w:lvlJc w:val="left"/>
      <w:pPr>
        <w:ind w:left="2628"/>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lvl w:ilvl="4" w:tplc="DDDCD6CE">
      <w:start w:val="1"/>
      <w:numFmt w:val="lowerLetter"/>
      <w:lvlText w:val="%5"/>
      <w:lvlJc w:val="left"/>
      <w:pPr>
        <w:ind w:left="3348"/>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lvl w:ilvl="5" w:tplc="4AC6E7AE">
      <w:start w:val="1"/>
      <w:numFmt w:val="lowerRoman"/>
      <w:lvlText w:val="%6"/>
      <w:lvlJc w:val="left"/>
      <w:pPr>
        <w:ind w:left="4068"/>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lvl w:ilvl="6" w:tplc="A8D6C4D2">
      <w:start w:val="1"/>
      <w:numFmt w:val="decimal"/>
      <w:lvlText w:val="%7"/>
      <w:lvlJc w:val="left"/>
      <w:pPr>
        <w:ind w:left="4788"/>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lvl w:ilvl="7" w:tplc="5FEAED7C">
      <w:start w:val="1"/>
      <w:numFmt w:val="lowerLetter"/>
      <w:lvlText w:val="%8"/>
      <w:lvlJc w:val="left"/>
      <w:pPr>
        <w:ind w:left="5508"/>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lvl w:ilvl="8" w:tplc="7402E5B8">
      <w:start w:val="1"/>
      <w:numFmt w:val="lowerRoman"/>
      <w:lvlText w:val="%9"/>
      <w:lvlJc w:val="left"/>
      <w:pPr>
        <w:ind w:left="6228"/>
      </w:pPr>
      <w:rPr>
        <w:rFonts w:ascii="Corbel" w:eastAsia="Corbel" w:hAnsi="Corbel" w:cs="Corbel"/>
        <w:b w:val="0"/>
        <w:i w:val="0"/>
        <w:strike w:val="0"/>
        <w:dstrike w:val="0"/>
        <w:color w:val="2C2C2C"/>
        <w:sz w:val="21"/>
        <w:szCs w:val="21"/>
        <w:u w:val="none" w:color="000000"/>
        <w:bdr w:val="none" w:sz="0" w:space="0" w:color="auto"/>
        <w:shd w:val="clear" w:color="auto" w:fill="auto"/>
        <w:vertAlign w:val="baseline"/>
      </w:rPr>
    </w:lvl>
  </w:abstractNum>
  <w:abstractNum w:abstractNumId="22" w15:restartNumberingAfterBreak="0">
    <w:nsid w:val="47996C4C"/>
    <w:multiLevelType w:val="hybridMultilevel"/>
    <w:tmpl w:val="B6D21F3C"/>
    <w:lvl w:ilvl="0" w:tplc="C3FACAD8">
      <w:start w:val="2"/>
      <w:numFmt w:val="decimal"/>
      <w:lvlText w:val="%1."/>
      <w:lvlJc w:val="left"/>
      <w:pPr>
        <w:ind w:left="1503"/>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1" w:tplc="678A87B2">
      <w:start w:val="1"/>
      <w:numFmt w:val="lowerLetter"/>
      <w:lvlText w:val="%2."/>
      <w:lvlJc w:val="left"/>
      <w:pPr>
        <w:ind w:left="214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2" w:tplc="53729D44">
      <w:start w:val="1"/>
      <w:numFmt w:val="lowerRoman"/>
      <w:lvlText w:val="%3"/>
      <w:lvlJc w:val="left"/>
      <w:pPr>
        <w:ind w:left="197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3" w:tplc="DED06532">
      <w:start w:val="1"/>
      <w:numFmt w:val="decimal"/>
      <w:lvlText w:val="%4"/>
      <w:lvlJc w:val="left"/>
      <w:pPr>
        <w:ind w:left="269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4" w:tplc="C292FC66">
      <w:start w:val="1"/>
      <w:numFmt w:val="lowerLetter"/>
      <w:lvlText w:val="%5"/>
      <w:lvlJc w:val="left"/>
      <w:pPr>
        <w:ind w:left="341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5" w:tplc="88CEDAA6">
      <w:start w:val="1"/>
      <w:numFmt w:val="lowerRoman"/>
      <w:lvlText w:val="%6"/>
      <w:lvlJc w:val="left"/>
      <w:pPr>
        <w:ind w:left="413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6" w:tplc="9AAC242A">
      <w:start w:val="1"/>
      <w:numFmt w:val="decimal"/>
      <w:lvlText w:val="%7"/>
      <w:lvlJc w:val="left"/>
      <w:pPr>
        <w:ind w:left="485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7" w:tplc="BFB281F4">
      <w:start w:val="1"/>
      <w:numFmt w:val="lowerLetter"/>
      <w:lvlText w:val="%8"/>
      <w:lvlJc w:val="left"/>
      <w:pPr>
        <w:ind w:left="557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8" w:tplc="DA9C1A24">
      <w:start w:val="1"/>
      <w:numFmt w:val="lowerRoman"/>
      <w:lvlText w:val="%9"/>
      <w:lvlJc w:val="left"/>
      <w:pPr>
        <w:ind w:left="629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F2760D9"/>
    <w:multiLevelType w:val="hybridMultilevel"/>
    <w:tmpl w:val="62863F1C"/>
    <w:lvl w:ilvl="0" w:tplc="A36CCFE2">
      <w:start w:val="1"/>
      <w:numFmt w:val="decimal"/>
      <w:lvlText w:val="(%1)"/>
      <w:lvlJc w:val="left"/>
      <w:pPr>
        <w:ind w:left="1097"/>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lvl w:ilvl="1" w:tplc="C78CE42E">
      <w:start w:val="1"/>
      <w:numFmt w:val="lowerLetter"/>
      <w:lvlText w:val="%2"/>
      <w:lvlJc w:val="left"/>
      <w:pPr>
        <w:ind w:left="1908"/>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lvl w:ilvl="2" w:tplc="3AF06F12">
      <w:start w:val="1"/>
      <w:numFmt w:val="lowerRoman"/>
      <w:lvlText w:val="%3"/>
      <w:lvlJc w:val="left"/>
      <w:pPr>
        <w:ind w:left="2628"/>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lvl w:ilvl="3" w:tplc="6700C3A0">
      <w:start w:val="1"/>
      <w:numFmt w:val="decimal"/>
      <w:lvlText w:val="%4"/>
      <w:lvlJc w:val="left"/>
      <w:pPr>
        <w:ind w:left="3348"/>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lvl w:ilvl="4" w:tplc="624C8B3A">
      <w:start w:val="1"/>
      <w:numFmt w:val="lowerLetter"/>
      <w:lvlText w:val="%5"/>
      <w:lvlJc w:val="left"/>
      <w:pPr>
        <w:ind w:left="4068"/>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lvl w:ilvl="5" w:tplc="B9EAF91C">
      <w:start w:val="1"/>
      <w:numFmt w:val="lowerRoman"/>
      <w:lvlText w:val="%6"/>
      <w:lvlJc w:val="left"/>
      <w:pPr>
        <w:ind w:left="4788"/>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lvl w:ilvl="6" w:tplc="289E7E22">
      <w:start w:val="1"/>
      <w:numFmt w:val="decimal"/>
      <w:lvlText w:val="%7"/>
      <w:lvlJc w:val="left"/>
      <w:pPr>
        <w:ind w:left="5508"/>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lvl w:ilvl="7" w:tplc="402A181A">
      <w:start w:val="1"/>
      <w:numFmt w:val="lowerLetter"/>
      <w:lvlText w:val="%8"/>
      <w:lvlJc w:val="left"/>
      <w:pPr>
        <w:ind w:left="6228"/>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lvl w:ilvl="8" w:tplc="EDD6B10A">
      <w:start w:val="1"/>
      <w:numFmt w:val="lowerRoman"/>
      <w:lvlText w:val="%9"/>
      <w:lvlJc w:val="left"/>
      <w:pPr>
        <w:ind w:left="6948"/>
      </w:pPr>
      <w:rPr>
        <w:rFonts w:ascii="Corbel" w:eastAsia="Corbel" w:hAnsi="Corbel" w:cs="Corbel"/>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0CA0D27"/>
    <w:multiLevelType w:val="hybridMultilevel"/>
    <w:tmpl w:val="7F649FC2"/>
    <w:lvl w:ilvl="0" w:tplc="7EE24592">
      <w:start w:val="6"/>
      <w:numFmt w:val="decimal"/>
      <w:lvlText w:val="(%1)"/>
      <w:lvlJc w:val="left"/>
      <w:pPr>
        <w:ind w:left="1123"/>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1" w:tplc="4394FF4A">
      <w:start w:val="1"/>
      <w:numFmt w:val="lowerLetter"/>
      <w:lvlText w:val="%2."/>
      <w:lvlJc w:val="left"/>
      <w:pPr>
        <w:ind w:left="1440"/>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2" w:tplc="501CD30E">
      <w:start w:val="1"/>
      <w:numFmt w:val="lowerRoman"/>
      <w:lvlText w:val="%3"/>
      <w:lvlJc w:val="left"/>
      <w:pPr>
        <w:ind w:left="2268"/>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3" w:tplc="6D1437AC">
      <w:start w:val="1"/>
      <w:numFmt w:val="decimal"/>
      <w:lvlText w:val="%4"/>
      <w:lvlJc w:val="left"/>
      <w:pPr>
        <w:ind w:left="2988"/>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4" w:tplc="5182767A">
      <w:start w:val="1"/>
      <w:numFmt w:val="lowerLetter"/>
      <w:lvlText w:val="%5"/>
      <w:lvlJc w:val="left"/>
      <w:pPr>
        <w:ind w:left="3708"/>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5" w:tplc="C00E5952">
      <w:start w:val="1"/>
      <w:numFmt w:val="lowerRoman"/>
      <w:lvlText w:val="%6"/>
      <w:lvlJc w:val="left"/>
      <w:pPr>
        <w:ind w:left="4428"/>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6" w:tplc="1DEA09B0">
      <w:start w:val="1"/>
      <w:numFmt w:val="decimal"/>
      <w:lvlText w:val="%7"/>
      <w:lvlJc w:val="left"/>
      <w:pPr>
        <w:ind w:left="5148"/>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7" w:tplc="19841C68">
      <w:start w:val="1"/>
      <w:numFmt w:val="lowerLetter"/>
      <w:lvlText w:val="%8"/>
      <w:lvlJc w:val="left"/>
      <w:pPr>
        <w:ind w:left="5868"/>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lvl w:ilvl="8" w:tplc="30E062C4">
      <w:start w:val="1"/>
      <w:numFmt w:val="lowerRoman"/>
      <w:lvlText w:val="%9"/>
      <w:lvlJc w:val="left"/>
      <w:pPr>
        <w:ind w:left="6588"/>
      </w:pPr>
      <w:rPr>
        <w:rFonts w:ascii="Corbel" w:eastAsia="Corbel" w:hAnsi="Corbel" w:cs="Corbel"/>
        <w:b w:val="0"/>
        <w:i w:val="0"/>
        <w:strike w:val="0"/>
        <w:dstrike w:val="0"/>
        <w:color w:val="363636"/>
        <w:sz w:val="21"/>
        <w:szCs w:val="21"/>
        <w:u w:val="none" w:color="000000"/>
        <w:bdr w:val="none" w:sz="0" w:space="0" w:color="auto"/>
        <w:shd w:val="clear" w:color="auto" w:fill="auto"/>
        <w:vertAlign w:val="baseline"/>
      </w:rPr>
    </w:lvl>
  </w:abstractNum>
  <w:abstractNum w:abstractNumId="25" w15:restartNumberingAfterBreak="0">
    <w:nsid w:val="50DC46AD"/>
    <w:multiLevelType w:val="hybridMultilevel"/>
    <w:tmpl w:val="3F1219B0"/>
    <w:lvl w:ilvl="0" w:tplc="CF52377C">
      <w:start w:val="1"/>
      <w:numFmt w:val="lowerLetter"/>
      <w:lvlText w:val="%1."/>
      <w:lvlJc w:val="left"/>
      <w:pPr>
        <w:ind w:left="214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1" w:tplc="07F497EE">
      <w:start w:val="1"/>
      <w:numFmt w:val="lowerLetter"/>
      <w:lvlText w:val="%2"/>
      <w:lvlJc w:val="left"/>
      <w:pPr>
        <w:ind w:left="197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2" w:tplc="2CBEEC50">
      <w:start w:val="1"/>
      <w:numFmt w:val="lowerRoman"/>
      <w:lvlText w:val="%3"/>
      <w:lvlJc w:val="left"/>
      <w:pPr>
        <w:ind w:left="269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3" w:tplc="8116D230">
      <w:start w:val="1"/>
      <w:numFmt w:val="decimal"/>
      <w:lvlText w:val="%4"/>
      <w:lvlJc w:val="left"/>
      <w:pPr>
        <w:ind w:left="341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4" w:tplc="F5509228">
      <w:start w:val="1"/>
      <w:numFmt w:val="lowerLetter"/>
      <w:lvlText w:val="%5"/>
      <w:lvlJc w:val="left"/>
      <w:pPr>
        <w:ind w:left="413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5" w:tplc="6DBC6342">
      <w:start w:val="1"/>
      <w:numFmt w:val="lowerRoman"/>
      <w:lvlText w:val="%6"/>
      <w:lvlJc w:val="left"/>
      <w:pPr>
        <w:ind w:left="485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6" w:tplc="5DD8A104">
      <w:start w:val="1"/>
      <w:numFmt w:val="decimal"/>
      <w:lvlText w:val="%7"/>
      <w:lvlJc w:val="left"/>
      <w:pPr>
        <w:ind w:left="557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7" w:tplc="96A02570">
      <w:start w:val="1"/>
      <w:numFmt w:val="lowerLetter"/>
      <w:lvlText w:val="%8"/>
      <w:lvlJc w:val="left"/>
      <w:pPr>
        <w:ind w:left="629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8" w:tplc="BE0076DA">
      <w:start w:val="1"/>
      <w:numFmt w:val="lowerRoman"/>
      <w:lvlText w:val="%9"/>
      <w:lvlJc w:val="left"/>
      <w:pPr>
        <w:ind w:left="701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448289C"/>
    <w:multiLevelType w:val="hybridMultilevel"/>
    <w:tmpl w:val="3A508F14"/>
    <w:lvl w:ilvl="0" w:tplc="87D8D524">
      <w:start w:val="1"/>
      <w:numFmt w:val="upperLetter"/>
      <w:lvlText w:val="%1."/>
      <w:lvlJc w:val="left"/>
      <w:pPr>
        <w:ind w:left="9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A5AAE10">
      <w:start w:val="1"/>
      <w:numFmt w:val="lowerLetter"/>
      <w:lvlText w:val="%2"/>
      <w:lvlJc w:val="left"/>
      <w:pPr>
        <w:ind w:left="15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3DCAFA6">
      <w:start w:val="1"/>
      <w:numFmt w:val="lowerRoman"/>
      <w:lvlText w:val="%3"/>
      <w:lvlJc w:val="left"/>
      <w:pPr>
        <w:ind w:left="227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D6AF5D0">
      <w:start w:val="1"/>
      <w:numFmt w:val="decimal"/>
      <w:lvlText w:val="%4"/>
      <w:lvlJc w:val="left"/>
      <w:pPr>
        <w:ind w:left="29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25226F0">
      <w:start w:val="1"/>
      <w:numFmt w:val="lowerLetter"/>
      <w:lvlText w:val="%5"/>
      <w:lvlJc w:val="left"/>
      <w:pPr>
        <w:ind w:left="371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F345358">
      <w:start w:val="1"/>
      <w:numFmt w:val="lowerRoman"/>
      <w:lvlText w:val="%6"/>
      <w:lvlJc w:val="left"/>
      <w:pPr>
        <w:ind w:left="44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5DAB5B6">
      <w:start w:val="1"/>
      <w:numFmt w:val="decimal"/>
      <w:lvlText w:val="%7"/>
      <w:lvlJc w:val="left"/>
      <w:pPr>
        <w:ind w:left="51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82AF8D6">
      <w:start w:val="1"/>
      <w:numFmt w:val="lowerLetter"/>
      <w:lvlText w:val="%8"/>
      <w:lvlJc w:val="left"/>
      <w:pPr>
        <w:ind w:left="587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F7AFE16">
      <w:start w:val="1"/>
      <w:numFmt w:val="lowerRoman"/>
      <w:lvlText w:val="%9"/>
      <w:lvlJc w:val="left"/>
      <w:pPr>
        <w:ind w:left="65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5E625B1"/>
    <w:multiLevelType w:val="hybridMultilevel"/>
    <w:tmpl w:val="53B84D66"/>
    <w:lvl w:ilvl="0" w:tplc="C29EE06E">
      <w:start w:val="1"/>
      <w:numFmt w:val="lowerLetter"/>
      <w:lvlText w:val="%1."/>
      <w:lvlJc w:val="left"/>
      <w:pPr>
        <w:ind w:left="2145"/>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1" w:tplc="81C4C082">
      <w:start w:val="1"/>
      <w:numFmt w:val="lowerLetter"/>
      <w:lvlText w:val="%2"/>
      <w:lvlJc w:val="left"/>
      <w:pPr>
        <w:ind w:left="207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2" w:tplc="E9FCF996">
      <w:start w:val="1"/>
      <w:numFmt w:val="lowerRoman"/>
      <w:lvlText w:val="%3"/>
      <w:lvlJc w:val="left"/>
      <w:pPr>
        <w:ind w:left="279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3" w:tplc="929013CE">
      <w:start w:val="1"/>
      <w:numFmt w:val="decimal"/>
      <w:lvlText w:val="%4"/>
      <w:lvlJc w:val="left"/>
      <w:pPr>
        <w:ind w:left="351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4" w:tplc="35D0E2B4">
      <w:start w:val="1"/>
      <w:numFmt w:val="lowerLetter"/>
      <w:lvlText w:val="%5"/>
      <w:lvlJc w:val="left"/>
      <w:pPr>
        <w:ind w:left="423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5" w:tplc="D93EC0AC">
      <w:start w:val="1"/>
      <w:numFmt w:val="lowerRoman"/>
      <w:lvlText w:val="%6"/>
      <w:lvlJc w:val="left"/>
      <w:pPr>
        <w:ind w:left="495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6" w:tplc="30EC4982">
      <w:start w:val="1"/>
      <w:numFmt w:val="decimal"/>
      <w:lvlText w:val="%7"/>
      <w:lvlJc w:val="left"/>
      <w:pPr>
        <w:ind w:left="567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7" w:tplc="962A31AA">
      <w:start w:val="1"/>
      <w:numFmt w:val="lowerLetter"/>
      <w:lvlText w:val="%8"/>
      <w:lvlJc w:val="left"/>
      <w:pPr>
        <w:ind w:left="639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8" w:tplc="9F1EEDA0">
      <w:start w:val="1"/>
      <w:numFmt w:val="lowerRoman"/>
      <w:lvlText w:val="%9"/>
      <w:lvlJc w:val="left"/>
      <w:pPr>
        <w:ind w:left="711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6E55475"/>
    <w:multiLevelType w:val="hybridMultilevel"/>
    <w:tmpl w:val="C1BCEEDA"/>
    <w:lvl w:ilvl="0" w:tplc="B19C594C">
      <w:start w:val="1"/>
      <w:numFmt w:val="decimal"/>
      <w:lvlText w:val="%1."/>
      <w:lvlJc w:val="left"/>
      <w:pPr>
        <w:ind w:left="9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23C813C">
      <w:start w:val="1"/>
      <w:numFmt w:val="lowerLetter"/>
      <w:lvlText w:val="%2"/>
      <w:lvlJc w:val="left"/>
      <w:pPr>
        <w:ind w:left="20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0943BA4">
      <w:start w:val="1"/>
      <w:numFmt w:val="lowerRoman"/>
      <w:lvlText w:val="%3"/>
      <w:lvlJc w:val="left"/>
      <w:pPr>
        <w:ind w:left="27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1E0817C">
      <w:start w:val="1"/>
      <w:numFmt w:val="decimal"/>
      <w:lvlText w:val="%4"/>
      <w:lvlJc w:val="left"/>
      <w:pPr>
        <w:ind w:left="34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1F4339C">
      <w:start w:val="1"/>
      <w:numFmt w:val="lowerLetter"/>
      <w:lvlText w:val="%5"/>
      <w:lvlJc w:val="left"/>
      <w:pPr>
        <w:ind w:left="41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5EADA70">
      <w:start w:val="1"/>
      <w:numFmt w:val="lowerRoman"/>
      <w:lvlText w:val="%6"/>
      <w:lvlJc w:val="left"/>
      <w:pPr>
        <w:ind w:left="49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BEE420A">
      <w:start w:val="1"/>
      <w:numFmt w:val="decimal"/>
      <w:lvlText w:val="%7"/>
      <w:lvlJc w:val="left"/>
      <w:pPr>
        <w:ind w:left="56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1082F8">
      <w:start w:val="1"/>
      <w:numFmt w:val="lowerLetter"/>
      <w:lvlText w:val="%8"/>
      <w:lvlJc w:val="left"/>
      <w:pPr>
        <w:ind w:left="63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682C662">
      <w:start w:val="1"/>
      <w:numFmt w:val="lowerRoman"/>
      <w:lvlText w:val="%9"/>
      <w:lvlJc w:val="left"/>
      <w:pPr>
        <w:ind w:left="70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7F10CC3"/>
    <w:multiLevelType w:val="hybridMultilevel"/>
    <w:tmpl w:val="95DEEAE4"/>
    <w:lvl w:ilvl="0" w:tplc="B0F088B8">
      <w:start w:val="5"/>
      <w:numFmt w:val="upperLetter"/>
      <w:lvlText w:val="%1."/>
      <w:lvlJc w:val="left"/>
      <w:pPr>
        <w:ind w:left="720"/>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1" w:tplc="87E01EDC">
      <w:start w:val="1"/>
      <w:numFmt w:val="lowerLetter"/>
      <w:lvlText w:val="%2"/>
      <w:lvlJc w:val="left"/>
      <w:pPr>
        <w:ind w:left="1546"/>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2" w:tplc="56BC0494">
      <w:start w:val="1"/>
      <w:numFmt w:val="lowerRoman"/>
      <w:lvlText w:val="%3"/>
      <w:lvlJc w:val="left"/>
      <w:pPr>
        <w:ind w:left="2266"/>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3" w:tplc="2188BC3A">
      <w:start w:val="1"/>
      <w:numFmt w:val="decimal"/>
      <w:lvlText w:val="%4"/>
      <w:lvlJc w:val="left"/>
      <w:pPr>
        <w:ind w:left="2986"/>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4" w:tplc="7ADCC384">
      <w:start w:val="1"/>
      <w:numFmt w:val="lowerLetter"/>
      <w:lvlText w:val="%5"/>
      <w:lvlJc w:val="left"/>
      <w:pPr>
        <w:ind w:left="3706"/>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5" w:tplc="3D80DB70">
      <w:start w:val="1"/>
      <w:numFmt w:val="lowerRoman"/>
      <w:lvlText w:val="%6"/>
      <w:lvlJc w:val="left"/>
      <w:pPr>
        <w:ind w:left="4426"/>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6" w:tplc="1660D62E">
      <w:start w:val="1"/>
      <w:numFmt w:val="decimal"/>
      <w:lvlText w:val="%7"/>
      <w:lvlJc w:val="left"/>
      <w:pPr>
        <w:ind w:left="5146"/>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7" w:tplc="2E5E1FE0">
      <w:start w:val="1"/>
      <w:numFmt w:val="lowerLetter"/>
      <w:lvlText w:val="%8"/>
      <w:lvlJc w:val="left"/>
      <w:pPr>
        <w:ind w:left="5866"/>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8" w:tplc="199CE900">
      <w:start w:val="1"/>
      <w:numFmt w:val="lowerRoman"/>
      <w:lvlText w:val="%9"/>
      <w:lvlJc w:val="left"/>
      <w:pPr>
        <w:ind w:left="6586"/>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abstractNum>
  <w:abstractNum w:abstractNumId="30" w15:restartNumberingAfterBreak="0">
    <w:nsid w:val="59C81480"/>
    <w:multiLevelType w:val="hybridMultilevel"/>
    <w:tmpl w:val="3806B3DA"/>
    <w:lvl w:ilvl="0" w:tplc="424A8D24">
      <w:start w:val="1"/>
      <w:numFmt w:val="decimal"/>
      <w:lvlText w:val="(%1)"/>
      <w:lvlJc w:val="left"/>
      <w:pPr>
        <w:ind w:left="1058"/>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lvl w:ilvl="1" w:tplc="078CE3CC">
      <w:start w:val="1"/>
      <w:numFmt w:val="lowerLetter"/>
      <w:lvlText w:val="%2"/>
      <w:lvlJc w:val="left"/>
      <w:pPr>
        <w:ind w:left="1800"/>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lvl w:ilvl="2" w:tplc="AC54C024">
      <w:start w:val="1"/>
      <w:numFmt w:val="lowerRoman"/>
      <w:lvlText w:val="%3"/>
      <w:lvlJc w:val="left"/>
      <w:pPr>
        <w:ind w:left="2520"/>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lvl w:ilvl="3" w:tplc="9A4600EA">
      <w:start w:val="1"/>
      <w:numFmt w:val="decimal"/>
      <w:lvlText w:val="%4"/>
      <w:lvlJc w:val="left"/>
      <w:pPr>
        <w:ind w:left="3240"/>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lvl w:ilvl="4" w:tplc="4A7CC5AC">
      <w:start w:val="1"/>
      <w:numFmt w:val="lowerLetter"/>
      <w:lvlText w:val="%5"/>
      <w:lvlJc w:val="left"/>
      <w:pPr>
        <w:ind w:left="3960"/>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lvl w:ilvl="5" w:tplc="CB6EB396">
      <w:start w:val="1"/>
      <w:numFmt w:val="lowerRoman"/>
      <w:lvlText w:val="%6"/>
      <w:lvlJc w:val="left"/>
      <w:pPr>
        <w:ind w:left="4680"/>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lvl w:ilvl="6" w:tplc="306635BE">
      <w:start w:val="1"/>
      <w:numFmt w:val="decimal"/>
      <w:lvlText w:val="%7"/>
      <w:lvlJc w:val="left"/>
      <w:pPr>
        <w:ind w:left="5400"/>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lvl w:ilvl="7" w:tplc="39B8DB1E">
      <w:start w:val="1"/>
      <w:numFmt w:val="lowerLetter"/>
      <w:lvlText w:val="%8"/>
      <w:lvlJc w:val="left"/>
      <w:pPr>
        <w:ind w:left="6120"/>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lvl w:ilvl="8" w:tplc="AEB4CE62">
      <w:start w:val="1"/>
      <w:numFmt w:val="lowerRoman"/>
      <w:lvlText w:val="%9"/>
      <w:lvlJc w:val="left"/>
      <w:pPr>
        <w:ind w:left="6840"/>
      </w:pPr>
      <w:rPr>
        <w:rFonts w:ascii="Calisto MT" w:eastAsia="Calisto MT" w:hAnsi="Calisto MT" w:cs="Calisto MT"/>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BD66059"/>
    <w:multiLevelType w:val="hybridMultilevel"/>
    <w:tmpl w:val="07E66694"/>
    <w:lvl w:ilvl="0" w:tplc="B0CC3874">
      <w:start w:val="1"/>
      <w:numFmt w:val="lowerLetter"/>
      <w:lvlText w:val="%1."/>
      <w:lvlJc w:val="left"/>
      <w:pPr>
        <w:ind w:left="21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1" w:tplc="305A4F7C">
      <w:start w:val="1"/>
      <w:numFmt w:val="decimal"/>
      <w:lvlText w:val="(%2)"/>
      <w:lvlJc w:val="left"/>
      <w:pPr>
        <w:ind w:left="3060"/>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2" w:tplc="BE96F76A">
      <w:start w:val="1"/>
      <w:numFmt w:val="lowerRoman"/>
      <w:lvlText w:val="%3"/>
      <w:lvlJc w:val="left"/>
      <w:pPr>
        <w:ind w:left="3055"/>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3" w:tplc="51D2804E">
      <w:start w:val="1"/>
      <w:numFmt w:val="decimal"/>
      <w:lvlText w:val="%4"/>
      <w:lvlJc w:val="left"/>
      <w:pPr>
        <w:ind w:left="3775"/>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4" w:tplc="BDC85B70">
      <w:start w:val="1"/>
      <w:numFmt w:val="lowerLetter"/>
      <w:lvlText w:val="%5"/>
      <w:lvlJc w:val="left"/>
      <w:pPr>
        <w:ind w:left="4495"/>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5" w:tplc="2C52B756">
      <w:start w:val="1"/>
      <w:numFmt w:val="lowerRoman"/>
      <w:lvlText w:val="%6"/>
      <w:lvlJc w:val="left"/>
      <w:pPr>
        <w:ind w:left="5215"/>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6" w:tplc="F13AF4AA">
      <w:start w:val="1"/>
      <w:numFmt w:val="decimal"/>
      <w:lvlText w:val="%7"/>
      <w:lvlJc w:val="left"/>
      <w:pPr>
        <w:ind w:left="5935"/>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7" w:tplc="B2E8F364">
      <w:start w:val="1"/>
      <w:numFmt w:val="lowerLetter"/>
      <w:lvlText w:val="%8"/>
      <w:lvlJc w:val="left"/>
      <w:pPr>
        <w:ind w:left="6655"/>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lvl w:ilvl="8" w:tplc="09682E4C">
      <w:start w:val="1"/>
      <w:numFmt w:val="lowerRoman"/>
      <w:lvlText w:val="%9"/>
      <w:lvlJc w:val="left"/>
      <w:pPr>
        <w:ind w:left="7375"/>
      </w:pPr>
      <w:rPr>
        <w:rFonts w:ascii="Garamond" w:eastAsia="Garamond" w:hAnsi="Garamond" w:cs="Garamond"/>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5E6C203D"/>
    <w:multiLevelType w:val="hybridMultilevel"/>
    <w:tmpl w:val="E7425B6E"/>
    <w:lvl w:ilvl="0" w:tplc="2252002C">
      <w:start w:val="8"/>
      <w:numFmt w:val="upperLetter"/>
      <w:lvlText w:val="%1."/>
      <w:lvlJc w:val="left"/>
      <w:pPr>
        <w:ind w:left="360"/>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1" w:tplc="0E38D084">
      <w:start w:val="1"/>
      <w:numFmt w:val="decimal"/>
      <w:lvlText w:val="%2."/>
      <w:lvlJc w:val="left"/>
      <w:pPr>
        <w:ind w:left="1080"/>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2" w:tplc="D69CB0B2">
      <w:start w:val="1"/>
      <w:numFmt w:val="lowerRoman"/>
      <w:lvlText w:val="%3"/>
      <w:lvlJc w:val="left"/>
      <w:pPr>
        <w:ind w:left="2165"/>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3" w:tplc="0818F838">
      <w:start w:val="1"/>
      <w:numFmt w:val="decimal"/>
      <w:lvlText w:val="%4"/>
      <w:lvlJc w:val="left"/>
      <w:pPr>
        <w:ind w:left="2885"/>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4" w:tplc="2556A4EC">
      <w:start w:val="1"/>
      <w:numFmt w:val="lowerLetter"/>
      <w:lvlText w:val="%5"/>
      <w:lvlJc w:val="left"/>
      <w:pPr>
        <w:ind w:left="3605"/>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5" w:tplc="89E21832">
      <w:start w:val="1"/>
      <w:numFmt w:val="lowerRoman"/>
      <w:lvlText w:val="%6"/>
      <w:lvlJc w:val="left"/>
      <w:pPr>
        <w:ind w:left="4325"/>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6" w:tplc="ABE63E48">
      <w:start w:val="1"/>
      <w:numFmt w:val="decimal"/>
      <w:lvlText w:val="%7"/>
      <w:lvlJc w:val="left"/>
      <w:pPr>
        <w:ind w:left="5045"/>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7" w:tplc="A8C6208A">
      <w:start w:val="1"/>
      <w:numFmt w:val="lowerLetter"/>
      <w:lvlText w:val="%8"/>
      <w:lvlJc w:val="left"/>
      <w:pPr>
        <w:ind w:left="5765"/>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lvl w:ilvl="8" w:tplc="9C5875E2">
      <w:start w:val="1"/>
      <w:numFmt w:val="lowerRoman"/>
      <w:lvlText w:val="%9"/>
      <w:lvlJc w:val="left"/>
      <w:pPr>
        <w:ind w:left="6485"/>
      </w:pPr>
      <w:rPr>
        <w:rFonts w:ascii="Calisto MT" w:eastAsia="Calisto MT" w:hAnsi="Calisto MT" w:cs="Calisto MT"/>
        <w:b w:val="0"/>
        <w:i w:val="0"/>
        <w:strike w:val="0"/>
        <w:dstrike w:val="0"/>
        <w:color w:val="2C2C2C"/>
        <w:sz w:val="24"/>
        <w:szCs w:val="24"/>
        <w:u w:val="none" w:color="000000"/>
        <w:bdr w:val="none" w:sz="0" w:space="0" w:color="auto"/>
        <w:shd w:val="clear" w:color="auto" w:fill="auto"/>
        <w:vertAlign w:val="baseline"/>
      </w:rPr>
    </w:lvl>
  </w:abstractNum>
  <w:abstractNum w:abstractNumId="33" w15:restartNumberingAfterBreak="0">
    <w:nsid w:val="63631DEC"/>
    <w:multiLevelType w:val="hybridMultilevel"/>
    <w:tmpl w:val="26C6F020"/>
    <w:lvl w:ilvl="0" w:tplc="8EA25C64">
      <w:start w:val="1"/>
      <w:numFmt w:val="decimal"/>
      <w:lvlText w:val="%1."/>
      <w:lvlJc w:val="left"/>
      <w:pPr>
        <w:ind w:left="14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C8A03C8A">
      <w:start w:val="1"/>
      <w:numFmt w:val="lowerLetter"/>
      <w:lvlText w:val="%2"/>
      <w:lvlJc w:val="left"/>
      <w:pPr>
        <w:ind w:left="207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F3C8C756">
      <w:start w:val="1"/>
      <w:numFmt w:val="lowerRoman"/>
      <w:lvlText w:val="%3"/>
      <w:lvlJc w:val="left"/>
      <w:pPr>
        <w:ind w:left="279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C02E3730">
      <w:start w:val="1"/>
      <w:numFmt w:val="decimal"/>
      <w:lvlText w:val="%4"/>
      <w:lvlJc w:val="left"/>
      <w:pPr>
        <w:ind w:left="351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85D01488">
      <w:start w:val="1"/>
      <w:numFmt w:val="lowerLetter"/>
      <w:lvlText w:val="%5"/>
      <w:lvlJc w:val="left"/>
      <w:pPr>
        <w:ind w:left="423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F1EE0266">
      <w:start w:val="1"/>
      <w:numFmt w:val="lowerRoman"/>
      <w:lvlText w:val="%6"/>
      <w:lvlJc w:val="left"/>
      <w:pPr>
        <w:ind w:left="495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454A868A">
      <w:start w:val="1"/>
      <w:numFmt w:val="decimal"/>
      <w:lvlText w:val="%7"/>
      <w:lvlJc w:val="left"/>
      <w:pPr>
        <w:ind w:left="567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F092BBA8">
      <w:start w:val="1"/>
      <w:numFmt w:val="lowerLetter"/>
      <w:lvlText w:val="%8"/>
      <w:lvlJc w:val="left"/>
      <w:pPr>
        <w:ind w:left="639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D18C7472">
      <w:start w:val="1"/>
      <w:numFmt w:val="lowerRoman"/>
      <w:lvlText w:val="%9"/>
      <w:lvlJc w:val="left"/>
      <w:pPr>
        <w:ind w:left="711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9F93B4D"/>
    <w:multiLevelType w:val="hybridMultilevel"/>
    <w:tmpl w:val="9098ABDA"/>
    <w:lvl w:ilvl="0" w:tplc="54107AD4">
      <w:start w:val="1"/>
      <w:numFmt w:val="decimal"/>
      <w:lvlText w:val="%1."/>
      <w:lvlJc w:val="left"/>
      <w:pPr>
        <w:ind w:left="7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F447EC0">
      <w:start w:val="1"/>
      <w:numFmt w:val="lowerLetter"/>
      <w:lvlText w:val="%2"/>
      <w:lvlJc w:val="left"/>
      <w:pPr>
        <w:ind w:left="20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0B047DE">
      <w:start w:val="1"/>
      <w:numFmt w:val="lowerRoman"/>
      <w:lvlText w:val="%3"/>
      <w:lvlJc w:val="left"/>
      <w:pPr>
        <w:ind w:left="27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A8ACB06">
      <w:start w:val="1"/>
      <w:numFmt w:val="decimal"/>
      <w:lvlText w:val="%4"/>
      <w:lvlJc w:val="left"/>
      <w:pPr>
        <w:ind w:left="34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F027E3C">
      <w:start w:val="1"/>
      <w:numFmt w:val="lowerLetter"/>
      <w:lvlText w:val="%5"/>
      <w:lvlJc w:val="left"/>
      <w:pPr>
        <w:ind w:left="41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8646232">
      <w:start w:val="1"/>
      <w:numFmt w:val="lowerRoman"/>
      <w:lvlText w:val="%6"/>
      <w:lvlJc w:val="left"/>
      <w:pPr>
        <w:ind w:left="49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372F68A">
      <w:start w:val="1"/>
      <w:numFmt w:val="decimal"/>
      <w:lvlText w:val="%7"/>
      <w:lvlJc w:val="left"/>
      <w:pPr>
        <w:ind w:left="56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6C40008">
      <w:start w:val="1"/>
      <w:numFmt w:val="lowerLetter"/>
      <w:lvlText w:val="%8"/>
      <w:lvlJc w:val="left"/>
      <w:pPr>
        <w:ind w:left="63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7946B54">
      <w:start w:val="1"/>
      <w:numFmt w:val="lowerRoman"/>
      <w:lvlText w:val="%9"/>
      <w:lvlJc w:val="left"/>
      <w:pPr>
        <w:ind w:left="70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FE16CCA"/>
    <w:multiLevelType w:val="hybridMultilevel"/>
    <w:tmpl w:val="A844A1EA"/>
    <w:lvl w:ilvl="0" w:tplc="23B64676">
      <w:start w:val="6"/>
      <w:numFmt w:val="upperLetter"/>
      <w:lvlText w:val="%1."/>
      <w:lvlJc w:val="left"/>
      <w:pPr>
        <w:ind w:left="9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38A4EEE">
      <w:start w:val="1"/>
      <w:numFmt w:val="decimal"/>
      <w:lvlText w:val="%2."/>
      <w:lvlJc w:val="left"/>
      <w:pPr>
        <w:ind w:left="14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A78CA98">
      <w:start w:val="1"/>
      <w:numFmt w:val="lowerRoman"/>
      <w:lvlText w:val="%3"/>
      <w:lvlJc w:val="left"/>
      <w:pPr>
        <w:ind w:left="20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F3ABFCE">
      <w:start w:val="1"/>
      <w:numFmt w:val="decimal"/>
      <w:lvlText w:val="%4"/>
      <w:lvlJc w:val="left"/>
      <w:pPr>
        <w:ind w:left="27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9AE1660">
      <w:start w:val="1"/>
      <w:numFmt w:val="lowerLetter"/>
      <w:lvlText w:val="%5"/>
      <w:lvlJc w:val="left"/>
      <w:pPr>
        <w:ind w:left="34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C36B740">
      <w:start w:val="1"/>
      <w:numFmt w:val="lowerRoman"/>
      <w:lvlText w:val="%6"/>
      <w:lvlJc w:val="left"/>
      <w:pPr>
        <w:ind w:left="41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CD6D326">
      <w:start w:val="1"/>
      <w:numFmt w:val="decimal"/>
      <w:lvlText w:val="%7"/>
      <w:lvlJc w:val="left"/>
      <w:pPr>
        <w:ind w:left="49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98A61EE">
      <w:start w:val="1"/>
      <w:numFmt w:val="lowerLetter"/>
      <w:lvlText w:val="%8"/>
      <w:lvlJc w:val="left"/>
      <w:pPr>
        <w:ind w:left="56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4F075AC">
      <w:start w:val="1"/>
      <w:numFmt w:val="lowerRoman"/>
      <w:lvlText w:val="%9"/>
      <w:lvlJc w:val="left"/>
      <w:pPr>
        <w:ind w:left="63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063456A"/>
    <w:multiLevelType w:val="hybridMultilevel"/>
    <w:tmpl w:val="8E887942"/>
    <w:lvl w:ilvl="0" w:tplc="52F4C73C">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C6FC24F0">
      <w:start w:val="1"/>
      <w:numFmt w:val="lowerLetter"/>
      <w:lvlText w:val="%2"/>
      <w:lvlJc w:val="left"/>
      <w:pPr>
        <w:ind w:left="207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52923A92">
      <w:start w:val="1"/>
      <w:numFmt w:val="lowerRoman"/>
      <w:lvlText w:val="%3"/>
      <w:lvlJc w:val="left"/>
      <w:pPr>
        <w:ind w:left="279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852694F0">
      <w:start w:val="1"/>
      <w:numFmt w:val="decimal"/>
      <w:lvlText w:val="%4"/>
      <w:lvlJc w:val="left"/>
      <w:pPr>
        <w:ind w:left="351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2A7EA4C2">
      <w:start w:val="1"/>
      <w:numFmt w:val="lowerLetter"/>
      <w:lvlText w:val="%5"/>
      <w:lvlJc w:val="left"/>
      <w:pPr>
        <w:ind w:left="423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37EA69DA">
      <w:start w:val="1"/>
      <w:numFmt w:val="lowerRoman"/>
      <w:lvlText w:val="%6"/>
      <w:lvlJc w:val="left"/>
      <w:pPr>
        <w:ind w:left="495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4816C674">
      <w:start w:val="1"/>
      <w:numFmt w:val="decimal"/>
      <w:lvlText w:val="%7"/>
      <w:lvlJc w:val="left"/>
      <w:pPr>
        <w:ind w:left="567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C8DACC86">
      <w:start w:val="1"/>
      <w:numFmt w:val="lowerLetter"/>
      <w:lvlText w:val="%8"/>
      <w:lvlJc w:val="left"/>
      <w:pPr>
        <w:ind w:left="639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DAF479FC">
      <w:start w:val="1"/>
      <w:numFmt w:val="lowerRoman"/>
      <w:lvlText w:val="%9"/>
      <w:lvlJc w:val="left"/>
      <w:pPr>
        <w:ind w:left="711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4D148D4"/>
    <w:multiLevelType w:val="hybridMultilevel"/>
    <w:tmpl w:val="5C6AA0B0"/>
    <w:lvl w:ilvl="0" w:tplc="31C6D3A2">
      <w:start w:val="1"/>
      <w:numFmt w:val="lowerLetter"/>
      <w:lvlText w:val="%1."/>
      <w:lvlJc w:val="left"/>
      <w:pPr>
        <w:ind w:left="2153"/>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1" w:tplc="95267490">
      <w:start w:val="1"/>
      <w:numFmt w:val="decimal"/>
      <w:lvlText w:val="(%2)"/>
      <w:lvlJc w:val="left"/>
      <w:pPr>
        <w:ind w:left="3060"/>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2" w:tplc="3ABCC55E">
      <w:start w:val="1"/>
      <w:numFmt w:val="lowerRoman"/>
      <w:lvlText w:val="%3"/>
      <w:lvlJc w:val="left"/>
      <w:pPr>
        <w:ind w:left="332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3" w:tplc="2D4643EE">
      <w:start w:val="1"/>
      <w:numFmt w:val="decimal"/>
      <w:lvlText w:val="%4"/>
      <w:lvlJc w:val="left"/>
      <w:pPr>
        <w:ind w:left="404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4" w:tplc="9730A690">
      <w:start w:val="1"/>
      <w:numFmt w:val="lowerLetter"/>
      <w:lvlText w:val="%5"/>
      <w:lvlJc w:val="left"/>
      <w:pPr>
        <w:ind w:left="476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5" w:tplc="72F0F9BE">
      <w:start w:val="1"/>
      <w:numFmt w:val="lowerRoman"/>
      <w:lvlText w:val="%6"/>
      <w:lvlJc w:val="left"/>
      <w:pPr>
        <w:ind w:left="548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6" w:tplc="73EE0396">
      <w:start w:val="1"/>
      <w:numFmt w:val="decimal"/>
      <w:lvlText w:val="%7"/>
      <w:lvlJc w:val="left"/>
      <w:pPr>
        <w:ind w:left="620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7" w:tplc="1460FAA4">
      <w:start w:val="1"/>
      <w:numFmt w:val="lowerLetter"/>
      <w:lvlText w:val="%8"/>
      <w:lvlJc w:val="left"/>
      <w:pPr>
        <w:ind w:left="692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lvl w:ilvl="8" w:tplc="0DE095EC">
      <w:start w:val="1"/>
      <w:numFmt w:val="lowerRoman"/>
      <w:lvlText w:val="%9"/>
      <w:lvlJc w:val="left"/>
      <w:pPr>
        <w:ind w:left="7648"/>
      </w:pPr>
      <w:rPr>
        <w:rFonts w:ascii="Garamond" w:eastAsia="Garamond" w:hAnsi="Garamond" w:cs="Garamond"/>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FA77524"/>
    <w:multiLevelType w:val="hybridMultilevel"/>
    <w:tmpl w:val="7B167A84"/>
    <w:lvl w:ilvl="0" w:tplc="87205724">
      <w:start w:val="1"/>
      <w:numFmt w:val="lowerLetter"/>
      <w:lvlText w:val="%1."/>
      <w:lvlJc w:val="left"/>
      <w:pPr>
        <w:ind w:left="214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5E4AB496">
      <w:start w:val="1"/>
      <w:numFmt w:val="lowerLetter"/>
      <w:lvlText w:val="%2"/>
      <w:lvlJc w:val="left"/>
      <w:pPr>
        <w:ind w:left="197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4E4AF9D6">
      <w:start w:val="1"/>
      <w:numFmt w:val="lowerRoman"/>
      <w:lvlText w:val="%3"/>
      <w:lvlJc w:val="left"/>
      <w:pPr>
        <w:ind w:left="269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4798E34A">
      <w:start w:val="1"/>
      <w:numFmt w:val="decimal"/>
      <w:lvlText w:val="%4"/>
      <w:lvlJc w:val="left"/>
      <w:pPr>
        <w:ind w:left="341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46BAD322">
      <w:start w:val="1"/>
      <w:numFmt w:val="lowerLetter"/>
      <w:lvlText w:val="%5"/>
      <w:lvlJc w:val="left"/>
      <w:pPr>
        <w:ind w:left="413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6254B856">
      <w:start w:val="1"/>
      <w:numFmt w:val="lowerRoman"/>
      <w:lvlText w:val="%6"/>
      <w:lvlJc w:val="left"/>
      <w:pPr>
        <w:ind w:left="485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38989672">
      <w:start w:val="1"/>
      <w:numFmt w:val="decimal"/>
      <w:lvlText w:val="%7"/>
      <w:lvlJc w:val="left"/>
      <w:pPr>
        <w:ind w:left="557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38685B38">
      <w:start w:val="1"/>
      <w:numFmt w:val="lowerLetter"/>
      <w:lvlText w:val="%8"/>
      <w:lvlJc w:val="left"/>
      <w:pPr>
        <w:ind w:left="629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E0549846">
      <w:start w:val="1"/>
      <w:numFmt w:val="lowerRoman"/>
      <w:lvlText w:val="%9"/>
      <w:lvlJc w:val="left"/>
      <w:pPr>
        <w:ind w:left="701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num w:numId="1" w16cid:durableId="2144500517">
    <w:abstractNumId w:val="37"/>
  </w:num>
  <w:num w:numId="2" w16cid:durableId="706027139">
    <w:abstractNumId w:val="22"/>
  </w:num>
  <w:num w:numId="3" w16cid:durableId="1083183250">
    <w:abstractNumId w:val="13"/>
  </w:num>
  <w:num w:numId="4" w16cid:durableId="309748466">
    <w:abstractNumId w:val="31"/>
  </w:num>
  <w:num w:numId="5" w16cid:durableId="689841127">
    <w:abstractNumId w:val="5"/>
  </w:num>
  <w:num w:numId="6" w16cid:durableId="2064714830">
    <w:abstractNumId w:val="11"/>
  </w:num>
  <w:num w:numId="7" w16cid:durableId="1328437191">
    <w:abstractNumId w:val="14"/>
  </w:num>
  <w:num w:numId="8" w16cid:durableId="867373122">
    <w:abstractNumId w:val="25"/>
  </w:num>
  <w:num w:numId="9" w16cid:durableId="2079399988">
    <w:abstractNumId w:val="2"/>
  </w:num>
  <w:num w:numId="10" w16cid:durableId="1510094773">
    <w:abstractNumId w:val="0"/>
  </w:num>
  <w:num w:numId="11" w16cid:durableId="1350520376">
    <w:abstractNumId w:val="38"/>
  </w:num>
  <w:num w:numId="12" w16cid:durableId="1607036903">
    <w:abstractNumId w:val="36"/>
  </w:num>
  <w:num w:numId="13" w16cid:durableId="457726956">
    <w:abstractNumId w:val="17"/>
  </w:num>
  <w:num w:numId="14" w16cid:durableId="182133763">
    <w:abstractNumId w:val="19"/>
  </w:num>
  <w:num w:numId="15" w16cid:durableId="2025476604">
    <w:abstractNumId w:val="27"/>
  </w:num>
  <w:num w:numId="16" w16cid:durableId="1703941115">
    <w:abstractNumId w:val="9"/>
  </w:num>
  <w:num w:numId="17" w16cid:durableId="1501776580">
    <w:abstractNumId w:val="8"/>
  </w:num>
  <w:num w:numId="18" w16cid:durableId="1053119388">
    <w:abstractNumId w:val="33"/>
  </w:num>
  <w:num w:numId="19" w16cid:durableId="956837512">
    <w:abstractNumId w:val="12"/>
  </w:num>
  <w:num w:numId="20" w16cid:durableId="757992462">
    <w:abstractNumId w:val="15"/>
  </w:num>
  <w:num w:numId="21" w16cid:durableId="543492165">
    <w:abstractNumId w:val="4"/>
  </w:num>
  <w:num w:numId="22" w16cid:durableId="1404645324">
    <w:abstractNumId w:val="26"/>
  </w:num>
  <w:num w:numId="23" w16cid:durableId="2116485570">
    <w:abstractNumId w:val="28"/>
  </w:num>
  <w:num w:numId="24" w16cid:durableId="726608974">
    <w:abstractNumId w:val="34"/>
  </w:num>
  <w:num w:numId="25" w16cid:durableId="286858055">
    <w:abstractNumId w:val="18"/>
  </w:num>
  <w:num w:numId="26" w16cid:durableId="403064465">
    <w:abstractNumId w:val="35"/>
  </w:num>
  <w:num w:numId="27" w16cid:durableId="485360245">
    <w:abstractNumId w:val="10"/>
  </w:num>
  <w:num w:numId="28" w16cid:durableId="1407648805">
    <w:abstractNumId w:val="3"/>
  </w:num>
  <w:num w:numId="29" w16cid:durableId="1354575852">
    <w:abstractNumId w:val="16"/>
  </w:num>
  <w:num w:numId="30" w16cid:durableId="1256749166">
    <w:abstractNumId w:val="6"/>
  </w:num>
  <w:num w:numId="31" w16cid:durableId="301232560">
    <w:abstractNumId w:val="30"/>
  </w:num>
  <w:num w:numId="32" w16cid:durableId="738019648">
    <w:abstractNumId w:val="20"/>
  </w:num>
  <w:num w:numId="33" w16cid:durableId="991447481">
    <w:abstractNumId w:val="29"/>
  </w:num>
  <w:num w:numId="34" w16cid:durableId="387607767">
    <w:abstractNumId w:val="32"/>
  </w:num>
  <w:num w:numId="35" w16cid:durableId="329404836">
    <w:abstractNumId w:val="7"/>
  </w:num>
  <w:num w:numId="36" w16cid:durableId="1880704423">
    <w:abstractNumId w:val="23"/>
  </w:num>
  <w:num w:numId="37" w16cid:durableId="1167205989">
    <w:abstractNumId w:val="21"/>
  </w:num>
  <w:num w:numId="38" w16cid:durableId="1413355455">
    <w:abstractNumId w:val="24"/>
  </w:num>
  <w:num w:numId="39" w16cid:durableId="1329551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494"/>
    <w:rsid w:val="00336CA4"/>
    <w:rsid w:val="00736494"/>
    <w:rsid w:val="009156A5"/>
    <w:rsid w:val="009A6219"/>
    <w:rsid w:val="00AE5E1A"/>
    <w:rsid w:val="00BD5AE5"/>
    <w:rsid w:val="00F4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7C514"/>
  <w15:docId w15:val="{C5A3F6D3-A50B-4CF5-A5A6-C2488552F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orbel" w:eastAsia="Corbel" w:hAnsi="Corbel" w:cs="Corbel"/>
      <w:color w:val="336699"/>
      <w:sz w:val="36"/>
    </w:rPr>
  </w:style>
  <w:style w:type="paragraph" w:styleId="Heading2">
    <w:name w:val="heading 2"/>
    <w:next w:val="Normal"/>
    <w:link w:val="Heading2Char"/>
    <w:uiPriority w:val="9"/>
    <w:unhideWhenUsed/>
    <w:qFormat/>
    <w:pPr>
      <w:keepNext/>
      <w:keepLines/>
      <w:spacing w:after="152" w:line="259" w:lineRule="auto"/>
      <w:ind w:left="933" w:hanging="10"/>
      <w:outlineLvl w:val="1"/>
    </w:pPr>
    <w:rPr>
      <w:rFonts w:ascii="Garamond" w:eastAsia="Garamond" w:hAnsi="Garamond" w:cs="Garamond"/>
      <w:b/>
      <w:color w:val="000000"/>
      <w:u w:val="single" w:color="000000"/>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Corbel" w:eastAsia="Corbel" w:hAnsi="Corbel" w:cs="Corbel"/>
      <w:color w:val="336699"/>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Garamond" w:eastAsia="Garamond" w:hAnsi="Garamond" w:cs="Garamond"/>
      <w:b/>
      <w:color w:val="000000"/>
      <w:sz w:val="24"/>
      <w:u w:val="single" w:color="000000"/>
    </w:rPr>
  </w:style>
  <w:style w:type="character" w:customStyle="1" w:styleId="Heading3Char">
    <w:name w:val="Heading 3 Char"/>
    <w:link w:val="Heading3"/>
    <w:rPr>
      <w:rFonts w:ascii="Corbel" w:eastAsia="Corbel" w:hAnsi="Corbel" w:cs="Corbel"/>
      <w:color w:val="336699"/>
      <w:sz w:val="36"/>
    </w:rPr>
  </w:style>
  <w:style w:type="character" w:customStyle="1" w:styleId="Heading1Char">
    <w:name w:val="Heading 1 Char"/>
    <w:link w:val="Heading1"/>
    <w:rPr>
      <w:rFonts w:ascii="Corbel" w:eastAsia="Corbel" w:hAnsi="Corbel" w:cs="Corbel"/>
      <w:color w:val="336699"/>
      <w:sz w:val="36"/>
    </w:rPr>
  </w:style>
  <w:style w:type="paragraph" w:styleId="TOC1">
    <w:name w:val="toc 1"/>
    <w:hidden/>
    <w:pPr>
      <w:spacing w:after="246" w:line="259" w:lineRule="auto"/>
      <w:ind w:left="25" w:right="16" w:hanging="10"/>
    </w:pPr>
    <w:rPr>
      <w:rFonts w:ascii="Calisto MT" w:eastAsia="Calisto MT" w:hAnsi="Calisto MT" w:cs="Calisto MT"/>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9A62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6219"/>
    <w:rPr>
      <w:rFonts w:ascii="Calibri" w:eastAsia="Calibri" w:hAnsi="Calibri" w:cs="Calibri"/>
      <w:color w:val="000000"/>
      <w:sz w:val="22"/>
    </w:rPr>
  </w:style>
  <w:style w:type="paragraph" w:styleId="Footer">
    <w:name w:val="footer"/>
    <w:basedOn w:val="Normal"/>
    <w:link w:val="FooterChar"/>
    <w:uiPriority w:val="99"/>
    <w:semiHidden/>
    <w:unhideWhenUsed/>
    <w:rsid w:val="009A621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A6219"/>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image" Target="media/image50.png"/><Relationship Id="rId39" Type="http://schemas.openxmlformats.org/officeDocument/2006/relationships/hyperlink" Target="https://planning.maryland.gov/Documents/Our-Engagement/ADUPTF/Inventory-of-ADU-Ordinances-For%20Website.pdf" TargetMode="External"/><Relationship Id="rId21" Type="http://schemas.openxmlformats.org/officeDocument/2006/relationships/header" Target="header6.xml"/><Relationship Id="rId34" Type="http://schemas.openxmlformats.org/officeDocument/2006/relationships/hyperlink" Target="https://planning.maryland.gov/Documents/Our-Engagement/ADUPTF/Appendix-C-Docs/AARP-Expanding-ADU-Development-and-Occupancy.pdf" TargetMode="External"/><Relationship Id="rId42" Type="http://schemas.openxmlformats.org/officeDocument/2006/relationships/hyperlink" Target="https://planning.maryland.gov/Documents/Our-Engagement/ADUPTF/Inventory-of-ADU-Ordinances-For%20Website.pdf" TargetMode="External"/><Relationship Id="rId47" Type="http://schemas.openxmlformats.org/officeDocument/2006/relationships/footer" Target="footer7.xml"/><Relationship Id="rId50" Type="http://schemas.openxmlformats.org/officeDocument/2006/relationships/footer" Target="footer9.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library.municode.com/md/annapolis/codes/code_of_ordinances?nodeId=TIT17BUCO_CH17.44REUNLI" TargetMode="Externa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hyperlink" Target="https://planning.maryland.gov/Documents/Our-Engagement/ADUPTF/Appendix-C-Docs/AARP-Expanding-ADU-Development-and-Occupancy.pdf" TargetMode="External"/><Relationship Id="rId37" Type="http://schemas.openxmlformats.org/officeDocument/2006/relationships/hyperlink" Target="https://planning.maryland.gov/Documents/Our-Engagement/ADUPTF/Inventory-of-ADU-Ordinances-For%20Website.pdf" TargetMode="External"/><Relationship Id="rId40" Type="http://schemas.openxmlformats.org/officeDocument/2006/relationships/hyperlink" Target="https://planning.maryland.gov/Documents/Our-Engagement/ADUPTF/Inventory-of-ADU-Ordinances-For%20Website.pdf" TargetMode="External"/><Relationship Id="rId45" Type="http://schemas.openxmlformats.org/officeDocument/2006/relationships/header" Target="header7.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3.png"/><Relationship Id="rId28" Type="http://schemas.openxmlformats.org/officeDocument/2006/relationships/hyperlink" Target="https://library.municode.com/md/annapolis/codes/code_of_ordinances?nodeId=TIT17BUCO_CH17.44REUNLI" TargetMode="External"/><Relationship Id="rId36" Type="http://schemas.openxmlformats.org/officeDocument/2006/relationships/hyperlink" Target="https://planning.maryland.gov/Documents/Our-Engagement/ADUPTF/Inventory-of-ADU-Ordinances-For%20Website.pdf" TargetMode="External"/><Relationship Id="rId49" Type="http://schemas.openxmlformats.org/officeDocument/2006/relationships/header" Target="header9.xml"/><Relationship Id="rId10" Type="http://schemas.openxmlformats.org/officeDocument/2006/relationships/image" Target="media/image1.jpg"/><Relationship Id="rId19" Type="http://schemas.openxmlformats.org/officeDocument/2006/relationships/footer" Target="footer4.xml"/><Relationship Id="rId31" Type="http://schemas.openxmlformats.org/officeDocument/2006/relationships/hyperlink" Target="https://planning.maryland.gov/Documents/Our-Engagement/ADUPTF/Appendix-C-Docs/AARP-Expanding-ADU-Development-and-Occupancy.pdf" TargetMode="External"/><Relationship Id="rId44" Type="http://schemas.openxmlformats.org/officeDocument/2006/relationships/hyperlink" Target="https://planning.maryland.gov/Documents/Our-Engagement/ADUPTF/Inventory-of-ADU-Ordinances-For%20Website.pdf"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image" Target="media/image6.png"/><Relationship Id="rId30" Type="http://schemas.openxmlformats.org/officeDocument/2006/relationships/hyperlink" Target="https://library.municode.com/md/annapolis/codes/code_of_ordinances?nodeId=TIT17BUCO_CH17.44REUNLI" TargetMode="External"/><Relationship Id="rId35" Type="http://schemas.openxmlformats.org/officeDocument/2006/relationships/hyperlink" Target="https://planning.maryland.gov/Documents/Our-Engagement/ADUPTF/Inventory-of-ADU-Ordinances-For%20Website.pdf" TargetMode="External"/><Relationship Id="rId43" Type="http://schemas.openxmlformats.org/officeDocument/2006/relationships/hyperlink" Target="https://planning.maryland.gov/Documents/Our-Engagement/ADUPTF/Inventory-of-ADU-Ordinances-For%20Website.pdf" TargetMode="External"/><Relationship Id="rId48" Type="http://schemas.openxmlformats.org/officeDocument/2006/relationships/footer" Target="footer8.xm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5.png"/><Relationship Id="rId33" Type="http://schemas.openxmlformats.org/officeDocument/2006/relationships/hyperlink" Target="https://planning.maryland.gov/Documents/Our-Engagement/ADUPTF/Appendix-C-Docs/AARP-Expanding-ADU-Development-and-Occupancy.pdf" TargetMode="External"/><Relationship Id="rId38" Type="http://schemas.openxmlformats.org/officeDocument/2006/relationships/hyperlink" Target="https://planning.maryland.gov/Documents/Our-Engagement/ADUPTF/Inventory-of-ADU-Ordinances-For%20Website.pdf" TargetMode="External"/><Relationship Id="rId46" Type="http://schemas.openxmlformats.org/officeDocument/2006/relationships/header" Target="header8.xml"/><Relationship Id="rId20" Type="http://schemas.openxmlformats.org/officeDocument/2006/relationships/footer" Target="footer5.xml"/><Relationship Id="rId41" Type="http://schemas.openxmlformats.org/officeDocument/2006/relationships/hyperlink" Target="https://planning.maryland.gov/Documents/Our-Engagement/ADUPTF/Inventory-of-ADU-Ordinances-For%20Website.pdf"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7.xml.rels><?xml version="1.0" encoding="UTF-8" standalone="yes"?>
<Relationships xmlns="http://schemas.openxmlformats.org/package/2006/relationships"><Relationship Id="rId1" Type="http://schemas.openxmlformats.org/officeDocument/2006/relationships/image" Target="media/image8.jpg"/></Relationships>
</file>

<file path=word/_rels/footer8.xml.rels><?xml version="1.0" encoding="UTF-8" standalone="yes"?>
<Relationships xmlns="http://schemas.openxmlformats.org/package/2006/relationships"><Relationship Id="rId1" Type="http://schemas.openxmlformats.org/officeDocument/2006/relationships/image" Target="media/image8.jpg"/></Relationships>
</file>

<file path=word/_rels/header7.xml.rels><?xml version="1.0" encoding="UTF-8" standalone="yes"?>
<Relationships xmlns="http://schemas.openxmlformats.org/package/2006/relationships"><Relationship Id="rId1" Type="http://schemas.openxmlformats.org/officeDocument/2006/relationships/image" Target="media/image7.png"/></Relationships>
</file>

<file path=word/_rels/header8.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bb9989-b471-480f-be93-2d6b8993a955">
      <Terms xmlns="http://schemas.microsoft.com/office/infopath/2007/PartnerControls"/>
    </lcf76f155ced4ddcb4097134ff3c332f>
    <TaxCatchAll xmlns="34a1bb94-67c0-4958-a0ee-1e27c1b00dd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C8CEF002D05C409C032EBAC5375784" ma:contentTypeVersion="19" ma:contentTypeDescription="Create a new document." ma:contentTypeScope="" ma:versionID="ba34a5756e91cda6bc121bc4a29be819">
  <xsd:schema xmlns:xsd="http://www.w3.org/2001/XMLSchema" xmlns:xs="http://www.w3.org/2001/XMLSchema" xmlns:p="http://schemas.microsoft.com/office/2006/metadata/properties" xmlns:ns2="b1bb9989-b471-480f-be93-2d6b8993a955" xmlns:ns3="34a1bb94-67c0-4958-a0ee-1e27c1b00ddc" targetNamespace="http://schemas.microsoft.com/office/2006/metadata/properties" ma:root="true" ma:fieldsID="b5b11cff10d41241036676eadc3d5152" ns2:_="" ns3:_="">
    <xsd:import namespace="b1bb9989-b471-480f-be93-2d6b8993a955"/>
    <xsd:import namespace="34a1bb94-67c0-4958-a0ee-1e27c1b00d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b9989-b471-480f-be93-2d6b8993a9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bb974c-b3ae-40dd-b26a-42db463736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a1bb94-67c0-4958-a0ee-1e27c1b00d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69bbe3e-9377-4bab-a71e-2726122a0c35}" ma:internalName="TaxCatchAll" ma:showField="CatchAllData" ma:web="34a1bb94-67c0-4958-a0ee-1e27c1b00d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999343-2F6F-4525-BE6C-1B7078829049}">
  <ds:schemaRefs>
    <ds:schemaRef ds:uri="http://schemas.microsoft.com/office/2006/metadata/properties"/>
    <ds:schemaRef ds:uri="http://schemas.microsoft.com/office/infopath/2007/PartnerControls"/>
    <ds:schemaRef ds:uri="b1bb9989-b471-480f-be93-2d6b8993a955"/>
    <ds:schemaRef ds:uri="34a1bb94-67c0-4958-a0ee-1e27c1b00ddc"/>
  </ds:schemaRefs>
</ds:datastoreItem>
</file>

<file path=customXml/itemProps2.xml><?xml version="1.0" encoding="utf-8"?>
<ds:datastoreItem xmlns:ds="http://schemas.openxmlformats.org/officeDocument/2006/customXml" ds:itemID="{5BB30FB5-C193-4119-B932-1D7FDF31026D}">
  <ds:schemaRefs>
    <ds:schemaRef ds:uri="http://schemas.microsoft.com/sharepoint/v3/contenttype/forms"/>
  </ds:schemaRefs>
</ds:datastoreItem>
</file>

<file path=customXml/itemProps3.xml><?xml version="1.0" encoding="utf-8"?>
<ds:datastoreItem xmlns:ds="http://schemas.openxmlformats.org/officeDocument/2006/customXml" ds:itemID="{ABB1C8BA-0CC4-4178-87E9-089B0353FC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b9989-b471-480f-be93-2d6b8993a955"/>
    <ds:schemaRef ds:uri="34a1bb94-67c0-4958-a0ee-1e27c1b00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8283</Words>
  <Characters>44895</Characters>
  <Application>Microsoft Office Word</Application>
  <DocSecurity>0</DocSecurity>
  <Lines>1044</Lines>
  <Paragraphs>501</Paragraphs>
  <ScaleCrop>false</ScaleCrop>
  <Company/>
  <LinksUpToDate>false</LinksUpToDate>
  <CharactersWithSpaces>52677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Bamberger</dc:creator>
  <cp:keywords/>
  <cp:lastModifiedBy>Advocacy</cp:lastModifiedBy>
  <cp:revision>3</cp:revision>
  <dcterms:created xsi:type="dcterms:W3CDTF">2026-03-06T19:39:00Z</dcterms:created>
  <dcterms:modified xsi:type="dcterms:W3CDTF">2026-03-06T19:40:00Z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0x01010020C8CEF002D05C409C032EBAC5375784</vt:lpwstr>
  </property>
  <property fmtid="{D5CDD505-2E9C-101B-9397-08002B2CF9AE}" pid="3" name="MediaServiceImageTags">
    <vt:lpwstr/>
  </property>
</Properties>
</file>